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41"/>
        <w:gridCol w:w="7120"/>
      </w:tblGrid>
      <w:tr w:rsidR="0087181E" w:rsidRPr="00876F03"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center"/>
              <w:rPr>
                <w:rFonts w:ascii="Tahoma" w:hAnsi="Tahoma"/>
                <w:b/>
                <w:bCs/>
                <w:color w:val="000000"/>
                <w:sz w:val="20"/>
                <w:szCs w:val="20"/>
                <w:lang w:val="es-CO" w:eastAsia="es-CO"/>
              </w:rPr>
            </w:pPr>
            <w:r w:rsidRPr="00876F03">
              <w:rPr>
                <w:rFonts w:ascii="Tahoma" w:hAnsi="Tahoma"/>
                <w:b/>
                <w:bCs/>
                <w:color w:val="000000"/>
                <w:sz w:val="20"/>
                <w:szCs w:val="20"/>
                <w:lang w:val="es-CO" w:eastAsia="es-CO"/>
              </w:rPr>
              <w:t>PRIMER AVISO DE CONVOCATORIA PÚBLICA</w:t>
            </w:r>
          </w:p>
          <w:p w:rsidR="0087181E" w:rsidRPr="00876F03" w:rsidRDefault="009518D8" w:rsidP="00876F03">
            <w:pPr>
              <w:pStyle w:val="Default"/>
              <w:jc w:val="center"/>
              <w:rPr>
                <w:rFonts w:ascii="Tahoma" w:hAnsi="Tahoma" w:cs="Tahoma"/>
                <w:b/>
                <w:sz w:val="20"/>
                <w:szCs w:val="20"/>
              </w:rPr>
            </w:pPr>
            <w:r>
              <w:rPr>
                <w:rFonts w:ascii="Tahoma" w:eastAsia="Times New Roman" w:hAnsi="Tahoma" w:cs="Tahoma"/>
                <w:b/>
                <w:bCs/>
                <w:kern w:val="3"/>
                <w:sz w:val="20"/>
                <w:szCs w:val="20"/>
                <w:lang w:eastAsia="es-CO"/>
              </w:rPr>
              <w:t>LP-SOP-019</w:t>
            </w:r>
            <w:r w:rsidR="00E911DB">
              <w:rPr>
                <w:rFonts w:ascii="Tahoma" w:eastAsia="Times New Roman" w:hAnsi="Tahoma" w:cs="Tahoma"/>
                <w:b/>
                <w:bCs/>
                <w:kern w:val="3"/>
                <w:sz w:val="20"/>
                <w:szCs w:val="20"/>
                <w:lang w:eastAsia="es-CO"/>
              </w:rPr>
              <w:t>-2019</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NOMBRE Y DIRECCIÓN DE A ENTIDAD CONTRATANTE</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sz w:val="20"/>
                <w:szCs w:val="20"/>
              </w:rPr>
            </w:pPr>
          </w:p>
          <w:p w:rsidR="0087181E" w:rsidRPr="00876F03" w:rsidRDefault="0087181E" w:rsidP="00876F03">
            <w:pPr>
              <w:pStyle w:val="Standard"/>
              <w:jc w:val="both"/>
              <w:rPr>
                <w:rFonts w:ascii="Tahoma" w:hAnsi="Tahoma"/>
                <w:sz w:val="20"/>
                <w:szCs w:val="20"/>
              </w:rPr>
            </w:pPr>
            <w:r w:rsidRPr="00876F03">
              <w:rPr>
                <w:rFonts w:ascii="Tahoma" w:hAnsi="Tahoma"/>
                <w:sz w:val="20"/>
                <w:szCs w:val="20"/>
              </w:rPr>
              <w:t xml:space="preserve">Municipio de Manizales-Secretaría de Obras Públicas </w:t>
            </w:r>
          </w:p>
          <w:p w:rsidR="0087181E" w:rsidRPr="00876F03" w:rsidRDefault="0087181E" w:rsidP="00876F03">
            <w:pPr>
              <w:pStyle w:val="Standard"/>
              <w:jc w:val="both"/>
              <w:rPr>
                <w:rFonts w:ascii="Tahoma" w:hAnsi="Tahoma"/>
                <w:sz w:val="20"/>
                <w:szCs w:val="20"/>
              </w:rPr>
            </w:pPr>
            <w:r w:rsidRPr="00876F03">
              <w:rPr>
                <w:rFonts w:ascii="Tahoma" w:hAnsi="Tahoma"/>
                <w:sz w:val="20"/>
                <w:szCs w:val="20"/>
              </w:rPr>
              <w:t>NIT: 890.801.053-7</w:t>
            </w:r>
          </w:p>
          <w:p w:rsidR="0087181E" w:rsidRPr="00876F03" w:rsidRDefault="0087181E" w:rsidP="00876F03">
            <w:pPr>
              <w:pStyle w:val="Standard"/>
              <w:jc w:val="both"/>
              <w:rPr>
                <w:rFonts w:ascii="Tahoma" w:hAnsi="Tahoma"/>
                <w:sz w:val="20"/>
                <w:szCs w:val="20"/>
              </w:rPr>
            </w:pPr>
            <w:r w:rsidRPr="00876F03">
              <w:rPr>
                <w:rFonts w:ascii="Tahoma" w:hAnsi="Tahoma"/>
                <w:sz w:val="20"/>
                <w:szCs w:val="20"/>
              </w:rPr>
              <w:t>Dirección CALLE 19 No. 21-44 PISO 4</w:t>
            </w:r>
          </w:p>
          <w:p w:rsidR="0087181E" w:rsidRPr="00876F03" w:rsidRDefault="0087181E" w:rsidP="00876F03">
            <w:pPr>
              <w:pStyle w:val="Standard"/>
              <w:jc w:val="both"/>
              <w:rPr>
                <w:rFonts w:ascii="Tahoma" w:hAnsi="Tahoma"/>
                <w:sz w:val="20"/>
                <w:szCs w:val="20"/>
              </w:rPr>
            </w:pP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DIRECCIÓN Y CORREOS ELECTRÓNICOS DONDE SE PODRÁN ATENDER A LOS INTERESADOS Y PARA LA PRESENTACIÓN DE DOCUMENTOS DIFERENTES A LA PROPUESTA</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sz w:val="20"/>
                <w:szCs w:val="20"/>
              </w:rPr>
            </w:pPr>
            <w:r w:rsidRPr="00876F03">
              <w:rPr>
                <w:rFonts w:ascii="Tahoma" w:hAnsi="Tahoma"/>
                <w:sz w:val="20"/>
                <w:szCs w:val="20"/>
              </w:rPr>
              <w:t>Calle 19 No. 21-44 Piso 4- Secretaría de Obras Públicas</w:t>
            </w:r>
          </w:p>
          <w:p w:rsidR="0087181E" w:rsidRPr="00876F03" w:rsidRDefault="0087181E" w:rsidP="00876F03">
            <w:pPr>
              <w:pStyle w:val="Standard"/>
              <w:jc w:val="both"/>
              <w:rPr>
                <w:rFonts w:ascii="Tahoma" w:hAnsi="Tahoma"/>
                <w:sz w:val="20"/>
                <w:szCs w:val="20"/>
              </w:rPr>
            </w:pPr>
            <w:r w:rsidRPr="00876F03">
              <w:rPr>
                <w:rFonts w:ascii="Tahoma" w:hAnsi="Tahoma"/>
                <w:sz w:val="20"/>
                <w:szCs w:val="20"/>
              </w:rPr>
              <w:t xml:space="preserve">Teléfono: 8879700 – Ext 71173 </w:t>
            </w:r>
          </w:p>
          <w:p w:rsidR="0087181E" w:rsidRPr="00876F03" w:rsidRDefault="0087181E" w:rsidP="00876F03">
            <w:pPr>
              <w:pStyle w:val="Standard"/>
              <w:jc w:val="both"/>
              <w:rPr>
                <w:rFonts w:ascii="Tahoma" w:hAnsi="Tahoma"/>
                <w:sz w:val="20"/>
                <w:szCs w:val="20"/>
              </w:rPr>
            </w:pPr>
            <w:r w:rsidRPr="00876F03">
              <w:rPr>
                <w:rFonts w:ascii="Tahoma" w:hAnsi="Tahoma"/>
                <w:sz w:val="20"/>
                <w:szCs w:val="20"/>
              </w:rPr>
              <w:t>Correos electrónicos:</w:t>
            </w:r>
          </w:p>
          <w:p w:rsidR="0087181E" w:rsidRPr="00876F03" w:rsidRDefault="0087181E" w:rsidP="00876F03">
            <w:pPr>
              <w:pStyle w:val="Standard"/>
              <w:jc w:val="both"/>
              <w:rPr>
                <w:rFonts w:ascii="Tahoma" w:hAnsi="Tahoma"/>
                <w:sz w:val="20"/>
                <w:szCs w:val="20"/>
              </w:rPr>
            </w:pPr>
          </w:p>
          <w:p w:rsidR="001E6A55" w:rsidRPr="00876F03" w:rsidRDefault="005724DD" w:rsidP="00876F03">
            <w:pPr>
              <w:pStyle w:val="Sinespaciado"/>
              <w:rPr>
                <w:rFonts w:ascii="Tahoma" w:hAnsi="Tahoma" w:cs="Tahoma"/>
                <w:sz w:val="20"/>
                <w:szCs w:val="20"/>
                <w:lang w:val="es-CO"/>
              </w:rPr>
            </w:pPr>
            <w:r w:rsidRPr="00E911DB">
              <w:rPr>
                <w:rFonts w:ascii="Tahoma" w:hAnsi="Tahoma" w:cs="Tahoma"/>
                <w:sz w:val="20"/>
                <w:szCs w:val="20"/>
                <w:lang w:val="es-CO"/>
              </w:rPr>
              <w:t>j</w:t>
            </w:r>
            <w:r w:rsidR="00DE496E" w:rsidRPr="00E911DB">
              <w:rPr>
                <w:rFonts w:ascii="Tahoma" w:hAnsi="Tahoma" w:cs="Tahoma"/>
                <w:sz w:val="20"/>
                <w:szCs w:val="20"/>
                <w:lang w:val="es-CO"/>
              </w:rPr>
              <w:t>uan.zuluaga</w:t>
            </w:r>
            <w:r w:rsidR="001E6A55" w:rsidRPr="00E911DB">
              <w:rPr>
                <w:rFonts w:ascii="Tahoma" w:hAnsi="Tahoma" w:cs="Tahoma"/>
                <w:sz w:val="20"/>
                <w:szCs w:val="20"/>
                <w:lang w:val="es-CO"/>
              </w:rPr>
              <w:t>@manizales.gov.co</w:t>
            </w:r>
          </w:p>
          <w:p w:rsidR="00755401" w:rsidRPr="009518D8" w:rsidRDefault="009518D8" w:rsidP="00E911DB">
            <w:pPr>
              <w:pStyle w:val="Sinespaciado"/>
              <w:rPr>
                <w:rFonts w:ascii="Tahoma" w:hAnsi="Tahoma" w:cs="Tahoma"/>
                <w:sz w:val="20"/>
                <w:szCs w:val="20"/>
                <w:lang w:val="es-CO"/>
              </w:rPr>
            </w:pPr>
            <w:hyperlink r:id="rId9" w:history="1">
              <w:r w:rsidRPr="009518D8">
                <w:rPr>
                  <w:rStyle w:val="Hipervnculo"/>
                  <w:rFonts w:ascii="Tahoma" w:hAnsi="Tahoma" w:cs="Tahoma"/>
                  <w:color w:val="auto"/>
                  <w:sz w:val="20"/>
                  <w:szCs w:val="20"/>
                  <w:u w:val="none"/>
                  <w:lang w:val="es-CO"/>
                </w:rPr>
                <w:t>vavilahernandez11@gmail.com</w:t>
              </w:r>
            </w:hyperlink>
          </w:p>
          <w:p w:rsidR="00E911DB" w:rsidRPr="009518D8" w:rsidRDefault="009518D8" w:rsidP="00E911DB">
            <w:pPr>
              <w:pStyle w:val="Sinespaciado"/>
              <w:rPr>
                <w:rFonts w:ascii="Tahoma" w:hAnsi="Tahoma" w:cs="Tahoma"/>
                <w:sz w:val="20"/>
                <w:szCs w:val="20"/>
                <w:lang w:val="es-CO"/>
              </w:rPr>
            </w:pPr>
            <w:hyperlink r:id="rId10" w:history="1">
              <w:r w:rsidRPr="009518D8">
                <w:rPr>
                  <w:rStyle w:val="Hipervnculo"/>
                  <w:rFonts w:ascii="Tahoma" w:hAnsi="Tahoma" w:cs="Tahoma"/>
                  <w:color w:val="auto"/>
                  <w:sz w:val="20"/>
                  <w:szCs w:val="20"/>
                  <w:u w:val="none"/>
                  <w:lang w:val="es-CO"/>
                </w:rPr>
                <w:t>juan.duque@manizales.gov.co</w:t>
              </w:r>
            </w:hyperlink>
          </w:p>
          <w:p w:rsidR="00E911DB" w:rsidRPr="00876F03" w:rsidRDefault="00E911DB" w:rsidP="009518D8">
            <w:pPr>
              <w:pStyle w:val="Sinespaciado"/>
              <w:rPr>
                <w:rFonts w:ascii="Tahoma" w:hAnsi="Tahoma"/>
                <w:sz w:val="20"/>
                <w:szCs w:val="20"/>
              </w:rPr>
            </w:pP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DIRECCIÓN PARA LA PRESENTACIÓN DE LAS PROPUESTAS</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sz w:val="20"/>
                <w:szCs w:val="20"/>
              </w:rPr>
            </w:pPr>
            <w:r w:rsidRPr="00876F03">
              <w:rPr>
                <w:rFonts w:ascii="Tahoma" w:hAnsi="Tahoma"/>
                <w:sz w:val="20"/>
                <w:szCs w:val="20"/>
              </w:rPr>
              <w:t>Calle 19 No. 21-44 Piso 1. URNA DE CRISTAL</w:t>
            </w:r>
          </w:p>
          <w:p w:rsidR="0087181E" w:rsidRPr="00876F03" w:rsidRDefault="0087181E" w:rsidP="00876F03">
            <w:pPr>
              <w:pStyle w:val="Standard"/>
              <w:jc w:val="both"/>
              <w:rPr>
                <w:rFonts w:ascii="Tahoma" w:hAnsi="Tahoma"/>
                <w:sz w:val="20"/>
                <w:szCs w:val="20"/>
              </w:rPr>
            </w:pPr>
            <w:r w:rsidRPr="00876F03">
              <w:rPr>
                <w:rFonts w:ascii="Tahoma" w:hAnsi="Tahoma"/>
                <w:sz w:val="20"/>
                <w:szCs w:val="20"/>
              </w:rPr>
              <w:t>Municipio de Manizales</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rPr>
                <w:rFonts w:ascii="Tahoma" w:hAnsi="Tahoma"/>
                <w:b/>
                <w:sz w:val="20"/>
                <w:szCs w:val="20"/>
              </w:rPr>
            </w:pPr>
            <w:r w:rsidRPr="00876F03">
              <w:rPr>
                <w:rFonts w:ascii="Tahoma" w:hAnsi="Tahoma"/>
                <w:b/>
                <w:sz w:val="20"/>
                <w:szCs w:val="20"/>
              </w:rPr>
              <w:t>OBJETO DEL CONTRATO Y CANTIDADES A ADQUIRIR:</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B04AA" w:rsidRPr="005724DD" w:rsidRDefault="009518D8" w:rsidP="005724DD">
            <w:pPr>
              <w:jc w:val="both"/>
              <w:rPr>
                <w:rFonts w:ascii="Arial Narrow" w:eastAsia="Arial" w:hAnsi="Arial Narrow" w:cs="Arial"/>
                <w:b/>
                <w:sz w:val="22"/>
                <w:szCs w:val="22"/>
              </w:rPr>
            </w:pPr>
            <w:r w:rsidRPr="009518D8">
              <w:rPr>
                <w:rFonts w:ascii="Arial Narrow" w:eastAsia="Arial" w:hAnsi="Arial Narrow" w:cs="Arial"/>
                <w:b/>
                <w:sz w:val="22"/>
                <w:szCs w:val="22"/>
              </w:rPr>
              <w:t>CONSTRUCCION DE OBRAS DE INFRASTRUCTURA VIAL CORRESPONDIENTES AL PROYECTO CONSTRUCCION FASE III – AVENIDA COLON - AMPLIACIÓ</w:t>
            </w:r>
            <w:r>
              <w:rPr>
                <w:rFonts w:ascii="Arial Narrow" w:eastAsia="Arial" w:hAnsi="Arial Narrow" w:cs="Arial"/>
                <w:b/>
                <w:sz w:val="22"/>
                <w:szCs w:val="22"/>
              </w:rPr>
              <w:t>N CALZADA SECTOR SIERRA MORENA.</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MODALIDAD DE SELECCIÓN:</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112701" w:rsidP="00876F03">
            <w:pPr>
              <w:pStyle w:val="Standard"/>
              <w:jc w:val="both"/>
              <w:rPr>
                <w:rFonts w:ascii="Tahoma" w:hAnsi="Tahoma"/>
                <w:sz w:val="20"/>
                <w:szCs w:val="20"/>
              </w:rPr>
            </w:pPr>
            <w:r w:rsidRPr="00876F03">
              <w:rPr>
                <w:rFonts w:ascii="Tahoma" w:hAnsi="Tahoma"/>
                <w:sz w:val="20"/>
                <w:szCs w:val="20"/>
                <w:lang w:val="es-ES_tradnl"/>
              </w:rPr>
              <w:t>Licitación pública según artículo 30 de la Ley 80 de 1993, numeral 1 del artículo 2 de la Ley 1150 de 2007</w:t>
            </w:r>
            <w:r w:rsidR="00DE496E" w:rsidRPr="00876F03">
              <w:rPr>
                <w:rFonts w:ascii="Tahoma" w:hAnsi="Tahoma"/>
                <w:sz w:val="20"/>
                <w:szCs w:val="20"/>
                <w:lang w:val="es-ES_tradnl"/>
              </w:rPr>
              <w:t>, articulo 1 Ley 1882 de 2018</w:t>
            </w:r>
            <w:r w:rsidRPr="00876F03">
              <w:rPr>
                <w:rFonts w:ascii="Tahoma" w:hAnsi="Tahoma"/>
                <w:sz w:val="20"/>
                <w:szCs w:val="20"/>
                <w:lang w:val="es-ES_tradnl"/>
              </w:rPr>
              <w:t xml:space="preserve"> y los procedimientos definidos en los artículo 2.2.1.2.1.1.1 y 2.2.1.2.1.1.2 del Decreto 1082 de 2015.</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PLAZO ESTIMADO DEL CONTRATO:</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341875" w:rsidP="00653CAB">
            <w:pPr>
              <w:tabs>
                <w:tab w:val="left" w:pos="284"/>
              </w:tabs>
              <w:jc w:val="both"/>
              <w:rPr>
                <w:rFonts w:ascii="Tahoma" w:eastAsia="SimSun" w:hAnsi="Tahoma" w:cs="Tahoma"/>
                <w:bCs/>
                <w:sz w:val="20"/>
                <w:szCs w:val="20"/>
              </w:rPr>
            </w:pPr>
            <w:r w:rsidRPr="00341875">
              <w:rPr>
                <w:rFonts w:ascii="Tahoma" w:eastAsia="SimSun" w:hAnsi="Tahoma" w:cs="Tahoma"/>
                <w:b/>
                <w:bCs/>
                <w:sz w:val="20"/>
                <w:szCs w:val="20"/>
              </w:rPr>
              <w:t>PLAZO:</w:t>
            </w:r>
            <w:r w:rsidRPr="00341875">
              <w:rPr>
                <w:rFonts w:ascii="Tahoma" w:eastAsia="SimSun" w:hAnsi="Tahoma" w:cs="Tahoma"/>
                <w:bCs/>
                <w:sz w:val="20"/>
                <w:szCs w:val="20"/>
              </w:rPr>
              <w:t xml:space="preserve"> De conformidad con el procedimiento legal, el plazo máximo para la ejecución del contrato será de </w:t>
            </w:r>
            <w:r w:rsidR="00653CAB">
              <w:rPr>
                <w:rFonts w:ascii="Tahoma" w:eastAsia="SimSun" w:hAnsi="Tahoma" w:cs="Tahoma"/>
                <w:b/>
                <w:bCs/>
                <w:sz w:val="20"/>
                <w:szCs w:val="20"/>
              </w:rPr>
              <w:t>DOS (2</w:t>
            </w:r>
            <w:r w:rsidRPr="00E911DB">
              <w:rPr>
                <w:rFonts w:ascii="Tahoma" w:eastAsia="SimSun" w:hAnsi="Tahoma" w:cs="Tahoma"/>
                <w:b/>
                <w:bCs/>
                <w:sz w:val="20"/>
                <w:szCs w:val="20"/>
              </w:rPr>
              <w:t>) MESES</w:t>
            </w:r>
            <w:r w:rsidRPr="00341875">
              <w:rPr>
                <w:rFonts w:ascii="Tahoma" w:eastAsia="SimSun" w:hAnsi="Tahoma" w:cs="Tahoma"/>
                <w:bCs/>
                <w:sz w:val="20"/>
                <w:szCs w:val="20"/>
              </w:rPr>
              <w:t>, contados a</w:t>
            </w:r>
            <w:r w:rsidR="00810C7E">
              <w:rPr>
                <w:rFonts w:ascii="Tahoma" w:eastAsia="SimSun" w:hAnsi="Tahoma" w:cs="Tahoma"/>
                <w:bCs/>
                <w:sz w:val="20"/>
                <w:szCs w:val="20"/>
              </w:rPr>
              <w:t xml:space="preserve"> </w:t>
            </w:r>
            <w:r w:rsidRPr="00341875">
              <w:rPr>
                <w:rFonts w:ascii="Tahoma" w:eastAsia="SimSun" w:hAnsi="Tahoma" w:cs="Tahoma"/>
                <w:bCs/>
                <w:sz w:val="20"/>
                <w:szCs w:val="20"/>
              </w:rPr>
              <w:t xml:space="preserve"> partir de la firma del acta de inicio, actuación que se debe llevar a cabo sin que supere los cinco (5) días posteriores al perfeccionamiento y legalización del contrato.</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color w:val="000000"/>
                <w:sz w:val="20"/>
                <w:szCs w:val="20"/>
                <w:lang w:val="es-CO" w:eastAsia="es-CO"/>
              </w:rPr>
              <w:t>F</w:t>
            </w:r>
            <w:r w:rsidRPr="00876F03">
              <w:rPr>
                <w:rFonts w:ascii="Tahoma" w:hAnsi="Tahoma"/>
                <w:b/>
                <w:color w:val="000000"/>
                <w:sz w:val="20"/>
                <w:szCs w:val="20"/>
                <w:lang w:eastAsia="es-CO"/>
              </w:rPr>
              <w:t>ECHA LÍMITE PARA -PRESENTAR OFERTAS Y LUGAR Y FORMA DE PRESENTACIÓN DE LA MISMA</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10C7E">
            <w:pPr>
              <w:pStyle w:val="Standard"/>
              <w:jc w:val="both"/>
              <w:rPr>
                <w:rFonts w:ascii="Tahoma" w:hAnsi="Tahoma"/>
                <w:sz w:val="20"/>
                <w:szCs w:val="20"/>
              </w:rPr>
            </w:pPr>
            <w:r w:rsidRPr="009152F2">
              <w:rPr>
                <w:rFonts w:ascii="Tahoma" w:hAnsi="Tahoma"/>
                <w:sz w:val="20"/>
                <w:szCs w:val="20"/>
              </w:rPr>
              <w:t xml:space="preserve">Hasta el </w:t>
            </w:r>
            <w:r w:rsidR="009152F2" w:rsidRPr="009152F2">
              <w:rPr>
                <w:rFonts w:ascii="Tahoma" w:hAnsi="Tahoma"/>
                <w:sz w:val="20"/>
                <w:szCs w:val="20"/>
              </w:rPr>
              <w:t>1</w:t>
            </w:r>
            <w:r w:rsidR="00810C7E">
              <w:rPr>
                <w:rFonts w:ascii="Tahoma" w:hAnsi="Tahoma"/>
                <w:sz w:val="20"/>
                <w:szCs w:val="20"/>
              </w:rPr>
              <w:t>9</w:t>
            </w:r>
            <w:r w:rsidR="005C2D60" w:rsidRPr="009152F2">
              <w:rPr>
                <w:rFonts w:ascii="Tahoma" w:hAnsi="Tahoma"/>
                <w:sz w:val="20"/>
                <w:szCs w:val="20"/>
              </w:rPr>
              <w:t xml:space="preserve"> </w:t>
            </w:r>
            <w:r w:rsidRPr="009152F2">
              <w:rPr>
                <w:rFonts w:ascii="Tahoma" w:hAnsi="Tahoma"/>
                <w:sz w:val="20"/>
                <w:szCs w:val="20"/>
              </w:rPr>
              <w:t xml:space="preserve">de </w:t>
            </w:r>
            <w:r w:rsidR="009152F2" w:rsidRPr="009152F2">
              <w:rPr>
                <w:rFonts w:ascii="Tahoma" w:hAnsi="Tahoma"/>
                <w:sz w:val="20"/>
                <w:szCs w:val="20"/>
              </w:rPr>
              <w:t>Julio</w:t>
            </w:r>
            <w:r w:rsidR="0049582F" w:rsidRPr="009152F2">
              <w:rPr>
                <w:rFonts w:ascii="Tahoma" w:hAnsi="Tahoma"/>
                <w:sz w:val="20"/>
                <w:szCs w:val="20"/>
              </w:rPr>
              <w:t xml:space="preserve"> </w:t>
            </w:r>
            <w:r w:rsidRPr="009152F2">
              <w:rPr>
                <w:rFonts w:ascii="Tahoma" w:hAnsi="Tahoma"/>
                <w:sz w:val="20"/>
                <w:szCs w:val="20"/>
              </w:rPr>
              <w:t>de 201</w:t>
            </w:r>
            <w:r w:rsidR="009152F2" w:rsidRPr="009152F2">
              <w:rPr>
                <w:rFonts w:ascii="Tahoma" w:hAnsi="Tahoma"/>
                <w:sz w:val="20"/>
                <w:szCs w:val="20"/>
              </w:rPr>
              <w:t>9</w:t>
            </w:r>
            <w:r w:rsidR="00876F03" w:rsidRPr="009152F2">
              <w:rPr>
                <w:rFonts w:ascii="Tahoma" w:hAnsi="Tahoma"/>
                <w:sz w:val="20"/>
                <w:szCs w:val="20"/>
              </w:rPr>
              <w:t xml:space="preserve"> </w:t>
            </w:r>
            <w:r w:rsidRPr="009152F2">
              <w:rPr>
                <w:rFonts w:ascii="Tahoma" w:hAnsi="Tahoma"/>
                <w:sz w:val="20"/>
                <w:szCs w:val="20"/>
              </w:rPr>
              <w:t>a las</w:t>
            </w:r>
            <w:r w:rsidR="00FB04AA" w:rsidRPr="009152F2">
              <w:rPr>
                <w:rFonts w:ascii="Tahoma" w:hAnsi="Tahoma"/>
                <w:sz w:val="20"/>
                <w:szCs w:val="20"/>
              </w:rPr>
              <w:t xml:space="preserve"> </w:t>
            </w:r>
            <w:r w:rsidR="00112701" w:rsidRPr="009152F2">
              <w:rPr>
                <w:rFonts w:ascii="Tahoma" w:hAnsi="Tahoma"/>
                <w:sz w:val="20"/>
                <w:szCs w:val="20"/>
              </w:rPr>
              <w:t>09</w:t>
            </w:r>
            <w:r w:rsidRPr="009152F2">
              <w:rPr>
                <w:rFonts w:ascii="Tahoma" w:hAnsi="Tahoma"/>
                <w:sz w:val="20"/>
                <w:szCs w:val="20"/>
              </w:rPr>
              <w:t>:</w:t>
            </w:r>
            <w:r w:rsidR="00E51BB0" w:rsidRPr="009152F2">
              <w:rPr>
                <w:rFonts w:ascii="Tahoma" w:hAnsi="Tahoma"/>
                <w:sz w:val="20"/>
                <w:szCs w:val="20"/>
              </w:rPr>
              <w:t>0</w:t>
            </w:r>
            <w:r w:rsidR="005C2D60" w:rsidRPr="009152F2">
              <w:rPr>
                <w:rFonts w:ascii="Tahoma" w:hAnsi="Tahoma"/>
                <w:sz w:val="20"/>
                <w:szCs w:val="20"/>
              </w:rPr>
              <w:t>0</w:t>
            </w:r>
            <w:r w:rsidRPr="009152F2">
              <w:rPr>
                <w:rFonts w:ascii="Tahoma" w:hAnsi="Tahoma"/>
                <w:sz w:val="20"/>
                <w:szCs w:val="20"/>
              </w:rPr>
              <w:t xml:space="preserve"> </w:t>
            </w:r>
            <w:r w:rsidR="0049582F" w:rsidRPr="009152F2">
              <w:rPr>
                <w:rFonts w:ascii="Tahoma" w:hAnsi="Tahoma"/>
                <w:sz w:val="20"/>
                <w:szCs w:val="20"/>
              </w:rPr>
              <w:t>a</w:t>
            </w:r>
            <w:r w:rsidRPr="009152F2">
              <w:rPr>
                <w:rFonts w:ascii="Tahoma" w:hAnsi="Tahoma"/>
                <w:sz w:val="20"/>
                <w:szCs w:val="20"/>
              </w:rPr>
              <w:t>.m., en la Urna de Cristal de la  Alcaldía de Manizales en sobre sellado, legajado y de acuerdo a lo dispuesto en el pliego de condiciones.</w:t>
            </w:r>
          </w:p>
        </w:tc>
      </w:tr>
      <w:tr w:rsidR="0087181E" w:rsidRPr="00876F03" w:rsidTr="007C3E1F">
        <w:trPr>
          <w:trHeight w:val="547"/>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VALOR ESTIMADO DEL CONTRATO</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41875" w:rsidRDefault="00810C7E" w:rsidP="00876F03">
            <w:pPr>
              <w:ind w:right="49"/>
              <w:jc w:val="both"/>
              <w:rPr>
                <w:rFonts w:ascii="Tahoma" w:hAnsi="Tahoma" w:cs="Tahoma"/>
                <w:bCs/>
                <w:color w:val="000000" w:themeColor="text1"/>
                <w:sz w:val="20"/>
                <w:szCs w:val="20"/>
                <w:lang w:val="es-ES"/>
              </w:rPr>
            </w:pPr>
            <w:r w:rsidRPr="00810C7E">
              <w:rPr>
                <w:rFonts w:ascii="Tahoma" w:hAnsi="Tahoma" w:cs="Tahoma"/>
                <w:bCs/>
                <w:color w:val="000000" w:themeColor="text1"/>
                <w:sz w:val="20"/>
                <w:szCs w:val="20"/>
                <w:lang w:val="es-ES"/>
              </w:rPr>
              <w:t>OCHOCIENTOS ONCE MILLONES QUINIENTOS SETENTA Y TRES MIL CUATROCIENTOS CUARENTA Y OCHO PESOS M/CTE. ($ 811.573.448), A. I. U. INCLUIDO.</w:t>
            </w:r>
            <w:r w:rsidRPr="00810C7E">
              <w:rPr>
                <w:rFonts w:ascii="Tahoma" w:hAnsi="Tahoma" w:cs="Tahoma"/>
                <w:bCs/>
                <w:color w:val="000000" w:themeColor="text1"/>
                <w:sz w:val="20"/>
                <w:szCs w:val="20"/>
                <w:lang w:val="es-ES"/>
              </w:rPr>
              <w:tab/>
            </w:r>
          </w:p>
          <w:p w:rsidR="00341875" w:rsidRPr="00876F03" w:rsidRDefault="00341875" w:rsidP="00876F03">
            <w:pPr>
              <w:ind w:right="49"/>
              <w:jc w:val="both"/>
              <w:rPr>
                <w:rFonts w:ascii="Tahoma" w:hAnsi="Tahoma" w:cs="Tahoma"/>
                <w:bCs/>
                <w:color w:val="000000" w:themeColor="text1"/>
                <w:sz w:val="20"/>
                <w:szCs w:val="20"/>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2"/>
              <w:gridCol w:w="1758"/>
              <w:gridCol w:w="1890"/>
            </w:tblGrid>
            <w:tr w:rsidR="00876F03" w:rsidRPr="00876F03" w:rsidTr="00341875">
              <w:trPr>
                <w:jc w:val="center"/>
              </w:trPr>
              <w:tc>
                <w:tcPr>
                  <w:tcW w:w="2383" w:type="pct"/>
                  <w:vAlign w:val="center"/>
                </w:tcPr>
                <w:p w:rsidR="00876F03" w:rsidRPr="00876F03" w:rsidRDefault="00876F03" w:rsidP="009518D8">
                  <w:pPr>
                    <w:framePr w:hSpace="141" w:wrap="around" w:vAnchor="page" w:hAnchor="margin" w:xAlign="center" w:y="2488"/>
                    <w:jc w:val="center"/>
                    <w:rPr>
                      <w:rFonts w:ascii="Tahoma" w:hAnsi="Tahoma" w:cs="Tahoma"/>
                      <w:b/>
                      <w:color w:val="000000"/>
                      <w:sz w:val="20"/>
                      <w:szCs w:val="20"/>
                    </w:rPr>
                  </w:pPr>
                  <w:r w:rsidRPr="00876F03">
                    <w:rPr>
                      <w:rFonts w:ascii="Tahoma" w:hAnsi="Tahoma" w:cs="Tahoma"/>
                      <w:b/>
                      <w:color w:val="000000"/>
                      <w:sz w:val="20"/>
                      <w:szCs w:val="20"/>
                    </w:rPr>
                    <w:t>CERTIFICADO DE DISPONIBILIDAD PRESUPUESTAL</w:t>
                  </w:r>
                </w:p>
              </w:tc>
              <w:tc>
                <w:tcPr>
                  <w:tcW w:w="1261" w:type="pct"/>
                  <w:vAlign w:val="center"/>
                </w:tcPr>
                <w:p w:rsidR="00876F03" w:rsidRPr="00876F03" w:rsidRDefault="00876F03" w:rsidP="009518D8">
                  <w:pPr>
                    <w:framePr w:hSpace="141" w:wrap="around" w:vAnchor="page" w:hAnchor="margin" w:xAlign="center" w:y="2488"/>
                    <w:jc w:val="center"/>
                    <w:rPr>
                      <w:rFonts w:ascii="Tahoma" w:hAnsi="Tahoma" w:cs="Tahoma"/>
                      <w:b/>
                      <w:color w:val="000000"/>
                      <w:sz w:val="20"/>
                      <w:szCs w:val="20"/>
                    </w:rPr>
                  </w:pPr>
                  <w:r w:rsidRPr="00876F03">
                    <w:rPr>
                      <w:rFonts w:ascii="Tahoma" w:hAnsi="Tahoma" w:cs="Tahoma"/>
                      <w:b/>
                      <w:color w:val="000000"/>
                      <w:sz w:val="20"/>
                      <w:szCs w:val="20"/>
                    </w:rPr>
                    <w:t>RUBRO</w:t>
                  </w:r>
                </w:p>
              </w:tc>
              <w:tc>
                <w:tcPr>
                  <w:tcW w:w="1356" w:type="pct"/>
                  <w:vAlign w:val="center"/>
                </w:tcPr>
                <w:p w:rsidR="00876F03" w:rsidRPr="00876F03" w:rsidRDefault="00876F03" w:rsidP="009518D8">
                  <w:pPr>
                    <w:framePr w:hSpace="141" w:wrap="around" w:vAnchor="page" w:hAnchor="margin" w:xAlign="center" w:y="2488"/>
                    <w:jc w:val="center"/>
                    <w:rPr>
                      <w:rFonts w:ascii="Tahoma" w:hAnsi="Tahoma" w:cs="Tahoma"/>
                      <w:b/>
                      <w:color w:val="000000"/>
                      <w:sz w:val="20"/>
                      <w:szCs w:val="20"/>
                    </w:rPr>
                  </w:pPr>
                  <w:r w:rsidRPr="00876F03">
                    <w:rPr>
                      <w:rFonts w:ascii="Tahoma" w:hAnsi="Tahoma" w:cs="Tahoma"/>
                      <w:b/>
                      <w:color w:val="000000"/>
                      <w:sz w:val="20"/>
                      <w:szCs w:val="20"/>
                    </w:rPr>
                    <w:t>VALOR</w:t>
                  </w:r>
                </w:p>
              </w:tc>
            </w:tr>
            <w:tr w:rsidR="00876F03" w:rsidRPr="00876F03" w:rsidTr="00341875">
              <w:trPr>
                <w:trHeight w:val="399"/>
                <w:jc w:val="center"/>
              </w:trPr>
              <w:tc>
                <w:tcPr>
                  <w:tcW w:w="2383" w:type="pct"/>
                  <w:vAlign w:val="center"/>
                </w:tcPr>
                <w:p w:rsidR="00876F03" w:rsidRPr="00876F03" w:rsidRDefault="00341875" w:rsidP="009518D8">
                  <w:pPr>
                    <w:framePr w:hSpace="141" w:wrap="around" w:vAnchor="page" w:hAnchor="margin" w:xAlign="center" w:y="2488"/>
                    <w:jc w:val="center"/>
                    <w:rPr>
                      <w:rFonts w:ascii="Tahoma" w:hAnsi="Tahoma" w:cs="Tahoma"/>
                      <w:color w:val="000000"/>
                      <w:sz w:val="20"/>
                      <w:szCs w:val="20"/>
                    </w:rPr>
                  </w:pPr>
                  <w:r>
                    <w:rPr>
                      <w:rFonts w:ascii="Tahoma" w:hAnsi="Tahoma" w:cs="Tahoma"/>
                      <w:color w:val="000000"/>
                      <w:sz w:val="20"/>
                      <w:szCs w:val="20"/>
                    </w:rPr>
                    <w:t>003</w:t>
                  </w:r>
                </w:p>
              </w:tc>
              <w:tc>
                <w:tcPr>
                  <w:tcW w:w="1261" w:type="pct"/>
                  <w:vAlign w:val="center"/>
                </w:tcPr>
                <w:p w:rsidR="00341875" w:rsidRPr="00876F03" w:rsidRDefault="00810C7E" w:rsidP="009518D8">
                  <w:pPr>
                    <w:framePr w:hSpace="141" w:wrap="around" w:vAnchor="page" w:hAnchor="margin" w:xAlign="center" w:y="2488"/>
                    <w:jc w:val="center"/>
                    <w:rPr>
                      <w:rFonts w:ascii="Tahoma" w:hAnsi="Tahoma" w:cs="Tahoma"/>
                      <w:color w:val="000000"/>
                      <w:sz w:val="20"/>
                      <w:szCs w:val="20"/>
                    </w:rPr>
                  </w:pPr>
                  <w:r>
                    <w:rPr>
                      <w:rFonts w:ascii="Tahoma" w:hAnsi="Tahoma" w:cs="Tahoma"/>
                      <w:color w:val="000000"/>
                      <w:sz w:val="20"/>
                      <w:szCs w:val="20"/>
                    </w:rPr>
                    <w:t>26 1 3 11 52 1 103</w:t>
                  </w:r>
                  <w:r w:rsidR="00341875" w:rsidRPr="00341875">
                    <w:rPr>
                      <w:rFonts w:ascii="Tahoma" w:hAnsi="Tahoma" w:cs="Tahoma"/>
                      <w:color w:val="000000"/>
                      <w:sz w:val="20"/>
                      <w:szCs w:val="20"/>
                    </w:rPr>
                    <w:t xml:space="preserve"> 80</w:t>
                  </w:r>
                </w:p>
              </w:tc>
              <w:tc>
                <w:tcPr>
                  <w:tcW w:w="1356" w:type="pct"/>
                  <w:vAlign w:val="center"/>
                </w:tcPr>
                <w:p w:rsidR="00876F03" w:rsidRPr="00876F03" w:rsidRDefault="00E911DB" w:rsidP="009518D8">
                  <w:pPr>
                    <w:framePr w:hSpace="141" w:wrap="around" w:vAnchor="page" w:hAnchor="margin" w:xAlign="center" w:y="2488"/>
                    <w:jc w:val="right"/>
                    <w:rPr>
                      <w:rFonts w:ascii="Tahoma" w:hAnsi="Tahoma" w:cs="Tahoma"/>
                      <w:color w:val="000000"/>
                      <w:sz w:val="20"/>
                      <w:szCs w:val="20"/>
                    </w:rPr>
                  </w:pPr>
                  <w:r w:rsidRPr="00E911DB">
                    <w:rPr>
                      <w:rFonts w:ascii="Tahoma" w:hAnsi="Tahoma" w:cs="Tahoma"/>
                      <w:color w:val="000000"/>
                      <w:sz w:val="20"/>
                      <w:szCs w:val="20"/>
                    </w:rPr>
                    <w:t>$ 15.194.000.000</w:t>
                  </w:r>
                </w:p>
              </w:tc>
            </w:tr>
          </w:tbl>
          <w:p w:rsidR="00112701" w:rsidRPr="00876F03" w:rsidRDefault="00112701" w:rsidP="00876F03">
            <w:pPr>
              <w:ind w:right="49"/>
              <w:jc w:val="both"/>
              <w:rPr>
                <w:rFonts w:ascii="Tahoma" w:hAnsi="Tahoma" w:cs="Tahoma"/>
                <w:bCs/>
                <w:color w:val="000000" w:themeColor="text1"/>
                <w:sz w:val="20"/>
                <w:szCs w:val="20"/>
                <w:lang w:val="es-ES"/>
              </w:rPr>
            </w:pPr>
          </w:p>
        </w:tc>
      </w:tr>
      <w:tr w:rsidR="0087181E" w:rsidRPr="00876F03" w:rsidTr="007C3E1F">
        <w:trPr>
          <w:trHeight w:val="1109"/>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341875" w:rsidP="00341875">
            <w:pPr>
              <w:pStyle w:val="Standard"/>
              <w:tabs>
                <w:tab w:val="center" w:pos="1215"/>
              </w:tabs>
              <w:jc w:val="center"/>
              <w:rPr>
                <w:rFonts w:ascii="Tahoma" w:hAnsi="Tahoma"/>
                <w:b/>
                <w:sz w:val="20"/>
                <w:szCs w:val="20"/>
              </w:rPr>
            </w:pPr>
            <w:r>
              <w:rPr>
                <w:rFonts w:ascii="Tahoma" w:hAnsi="Tahoma"/>
                <w:b/>
                <w:sz w:val="20"/>
                <w:szCs w:val="20"/>
              </w:rPr>
              <w:lastRenderedPageBreak/>
              <w:t>PLIEGO TIPO INFRAESTRUCTURA DE TRANSPORTE</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BodyText21"/>
              <w:rPr>
                <w:rFonts w:ascii="Tahoma" w:hAnsi="Tahoma" w:cs="Tahoma"/>
                <w:sz w:val="20"/>
                <w:szCs w:val="20"/>
                <w:lang w:val="es-CO"/>
              </w:rPr>
            </w:pPr>
          </w:p>
          <w:p w:rsidR="000461ED" w:rsidRDefault="00341875" w:rsidP="00876F03">
            <w:pPr>
              <w:tabs>
                <w:tab w:val="left" w:pos="284"/>
              </w:tabs>
              <w:jc w:val="both"/>
              <w:rPr>
                <w:rFonts w:ascii="Tahoma" w:hAnsi="Tahoma" w:cs="Tahoma"/>
                <w:sz w:val="20"/>
                <w:szCs w:val="20"/>
              </w:rPr>
            </w:pPr>
            <w:r>
              <w:rPr>
                <w:rFonts w:ascii="Tahoma" w:hAnsi="Tahoma" w:cs="Tahoma"/>
                <w:sz w:val="20"/>
                <w:szCs w:val="20"/>
              </w:rPr>
              <w:t xml:space="preserve">El presente proceso licitatorio </w:t>
            </w:r>
            <w:r w:rsidRPr="00341875">
              <w:rPr>
                <w:rFonts w:ascii="Tahoma" w:hAnsi="Tahoma" w:cs="Tahoma"/>
                <w:sz w:val="20"/>
                <w:szCs w:val="20"/>
              </w:rPr>
              <w:t xml:space="preserve">contiene </w:t>
            </w:r>
            <w:r w:rsidRPr="000461ED">
              <w:rPr>
                <w:rFonts w:ascii="Tahoma" w:hAnsi="Tahoma" w:cs="Tahoma"/>
                <w:b/>
                <w:sz w:val="20"/>
                <w:szCs w:val="20"/>
              </w:rPr>
              <w:t>parámetros obligatorios</w:t>
            </w:r>
            <w:r w:rsidRPr="00341875">
              <w:rPr>
                <w:rFonts w:ascii="Tahoma" w:hAnsi="Tahoma" w:cs="Tahoma"/>
                <w:sz w:val="20"/>
                <w:szCs w:val="20"/>
              </w:rPr>
              <w:t xml:space="preserve"> para las entidades estatales sometidas al Estatuto General de la Contratación Pública que adelanten procesos de selección de licitación de obra pública d</w:t>
            </w:r>
            <w:r w:rsidR="000461ED">
              <w:rPr>
                <w:rFonts w:ascii="Tahoma" w:hAnsi="Tahoma" w:cs="Tahoma"/>
                <w:sz w:val="20"/>
                <w:szCs w:val="20"/>
              </w:rPr>
              <w:t xml:space="preserve">e infraestructura de transporte, lo anterior en cumplimiento de la Ley 1882 de 2018 y </w:t>
            </w:r>
            <w:r>
              <w:rPr>
                <w:rFonts w:ascii="Tahoma" w:hAnsi="Tahoma" w:cs="Tahoma"/>
                <w:sz w:val="20"/>
                <w:szCs w:val="20"/>
              </w:rPr>
              <w:t>el Decreto 342 de 2019</w:t>
            </w:r>
            <w:r w:rsidR="000461ED">
              <w:rPr>
                <w:rFonts w:ascii="Tahoma" w:hAnsi="Tahoma" w:cs="Tahoma"/>
                <w:sz w:val="20"/>
                <w:szCs w:val="20"/>
              </w:rPr>
              <w:t xml:space="preserve">, esto es, </w:t>
            </w:r>
            <w:r w:rsidR="000461ED" w:rsidRPr="000461ED">
              <w:rPr>
                <w:rFonts w:ascii="Tahoma" w:hAnsi="Tahoma" w:cs="Tahoma"/>
                <w:sz w:val="20"/>
                <w:szCs w:val="20"/>
              </w:rPr>
              <w:t>DOCUMENTOS TIPO PARA LICITACIÓN DE OBRA PÚBLICA DE INFRAESTRUCTURA DE TRANSPORTE</w:t>
            </w:r>
          </w:p>
          <w:p w:rsidR="00BF2D2A" w:rsidRPr="00876F03" w:rsidRDefault="00BF2D2A" w:rsidP="00341875">
            <w:pPr>
              <w:autoSpaceDE w:val="0"/>
              <w:jc w:val="both"/>
              <w:rPr>
                <w:rFonts w:ascii="Tahoma" w:hAnsi="Tahoma" w:cs="Tahoma"/>
                <w:b/>
                <w:i/>
                <w:sz w:val="20"/>
                <w:szCs w:val="20"/>
                <w:u w:val="single"/>
              </w:rPr>
            </w:pP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PRECALIFICACIÓN:</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sz w:val="20"/>
                <w:szCs w:val="20"/>
              </w:rPr>
            </w:pPr>
            <w:r w:rsidRPr="00876F03">
              <w:rPr>
                <w:rFonts w:ascii="Tahoma" w:hAnsi="Tahoma"/>
                <w:sz w:val="20"/>
                <w:szCs w:val="20"/>
              </w:rPr>
              <w:t xml:space="preserve">Debido a que la modalidad de selección del proceso es la de </w:t>
            </w:r>
            <w:r w:rsidR="00112701" w:rsidRPr="00876F03">
              <w:rPr>
                <w:rFonts w:ascii="Tahoma" w:hAnsi="Tahoma"/>
                <w:sz w:val="20"/>
                <w:szCs w:val="20"/>
              </w:rPr>
              <w:t>Licitacion Publica</w:t>
            </w:r>
            <w:r w:rsidRPr="00876F03">
              <w:rPr>
                <w:rFonts w:ascii="Tahoma" w:hAnsi="Tahoma"/>
                <w:sz w:val="20"/>
                <w:szCs w:val="20"/>
              </w:rPr>
              <w:t>, no hay lugar a precalificación.</w:t>
            </w:r>
          </w:p>
        </w:tc>
      </w:tr>
      <w:tr w:rsidR="0087181E" w:rsidRPr="00876F03" w:rsidTr="007C3E1F">
        <w:trPr>
          <w:trHeight w:val="20"/>
        </w:trPr>
        <w:tc>
          <w:tcPr>
            <w:tcW w:w="115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b/>
                <w:sz w:val="20"/>
                <w:szCs w:val="20"/>
              </w:rPr>
            </w:pPr>
            <w:r w:rsidRPr="00876F03">
              <w:rPr>
                <w:rFonts w:ascii="Tahoma" w:hAnsi="Tahoma"/>
                <w:b/>
                <w:sz w:val="20"/>
                <w:szCs w:val="20"/>
              </w:rPr>
              <w:t>CONSULTAS:</w:t>
            </w:r>
          </w:p>
        </w:tc>
        <w:tc>
          <w:tcPr>
            <w:tcW w:w="3844"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876F03" w:rsidRDefault="0087181E" w:rsidP="00876F03">
            <w:pPr>
              <w:pStyle w:val="Standard"/>
              <w:jc w:val="both"/>
              <w:rPr>
                <w:rFonts w:ascii="Tahoma" w:hAnsi="Tahoma"/>
                <w:sz w:val="20"/>
                <w:szCs w:val="20"/>
              </w:rPr>
            </w:pPr>
            <w:r w:rsidRPr="00876F03">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Default="00A16170"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Default="009152F2" w:rsidP="00876F03">
      <w:pPr>
        <w:rPr>
          <w:rFonts w:ascii="Tahoma" w:hAnsi="Tahoma" w:cs="Tahoma"/>
          <w:b/>
          <w:sz w:val="20"/>
          <w:szCs w:val="20"/>
        </w:rPr>
      </w:pPr>
    </w:p>
    <w:p w:rsidR="009152F2" w:rsidRPr="00876F03" w:rsidRDefault="009152F2" w:rsidP="00876F03">
      <w:pPr>
        <w:rPr>
          <w:rFonts w:ascii="Tahoma" w:hAnsi="Tahoma" w:cs="Tahoma"/>
          <w:b/>
          <w:sz w:val="20"/>
          <w:szCs w:val="20"/>
        </w:rPr>
      </w:pPr>
    </w:p>
    <w:p w:rsidR="00203AF1" w:rsidRPr="00876F03" w:rsidRDefault="00203AF1" w:rsidP="007C3E1F">
      <w:pPr>
        <w:rPr>
          <w:rFonts w:ascii="Tahoma" w:hAnsi="Tahoma" w:cs="Tahoma"/>
          <w:b/>
          <w:sz w:val="20"/>
          <w:szCs w:val="20"/>
        </w:rPr>
      </w:pPr>
    </w:p>
    <w:p w:rsidR="00810C7E" w:rsidRDefault="00810C7E" w:rsidP="00876F03">
      <w:pPr>
        <w:jc w:val="center"/>
        <w:rPr>
          <w:rFonts w:ascii="Tahoma" w:hAnsi="Tahoma" w:cs="Tahoma"/>
          <w:b/>
          <w:sz w:val="20"/>
          <w:szCs w:val="20"/>
        </w:rPr>
      </w:pPr>
    </w:p>
    <w:p w:rsidR="00810C7E" w:rsidRDefault="00810C7E" w:rsidP="00876F03">
      <w:pPr>
        <w:jc w:val="center"/>
        <w:rPr>
          <w:rFonts w:ascii="Tahoma" w:hAnsi="Tahoma" w:cs="Tahoma"/>
          <w:b/>
          <w:sz w:val="20"/>
          <w:szCs w:val="20"/>
        </w:rPr>
      </w:pPr>
    </w:p>
    <w:p w:rsidR="00810C7E" w:rsidRDefault="00810C7E" w:rsidP="00876F03">
      <w:pPr>
        <w:jc w:val="center"/>
        <w:rPr>
          <w:rFonts w:ascii="Tahoma" w:hAnsi="Tahoma" w:cs="Tahoma"/>
          <w:b/>
          <w:sz w:val="20"/>
          <w:szCs w:val="20"/>
        </w:rPr>
      </w:pPr>
    </w:p>
    <w:p w:rsidR="00810C7E" w:rsidRDefault="00810C7E" w:rsidP="00876F03">
      <w:pPr>
        <w:jc w:val="center"/>
        <w:rPr>
          <w:rFonts w:ascii="Tahoma" w:hAnsi="Tahoma" w:cs="Tahoma"/>
          <w:b/>
          <w:sz w:val="20"/>
          <w:szCs w:val="20"/>
        </w:rPr>
      </w:pPr>
    </w:p>
    <w:p w:rsidR="00810C7E" w:rsidRDefault="00810C7E" w:rsidP="00810C7E">
      <w:pPr>
        <w:rPr>
          <w:rFonts w:ascii="Tahoma" w:hAnsi="Tahoma" w:cs="Tahoma"/>
          <w:b/>
          <w:sz w:val="20"/>
          <w:szCs w:val="20"/>
        </w:rPr>
      </w:pPr>
    </w:p>
    <w:p w:rsidR="00112701" w:rsidRDefault="00A417EA" w:rsidP="00810C7E">
      <w:pPr>
        <w:jc w:val="center"/>
        <w:rPr>
          <w:rFonts w:ascii="Tahoma" w:hAnsi="Tahoma" w:cs="Tahoma"/>
          <w:b/>
          <w:sz w:val="20"/>
          <w:szCs w:val="20"/>
        </w:rPr>
      </w:pPr>
      <w:r w:rsidRPr="00876F03">
        <w:rPr>
          <w:rFonts w:ascii="Tahoma" w:hAnsi="Tahoma" w:cs="Tahoma"/>
          <w:b/>
          <w:sz w:val="20"/>
          <w:szCs w:val="20"/>
        </w:rPr>
        <w:lastRenderedPageBreak/>
        <w:t>CRONOGRAMA</w:t>
      </w:r>
    </w:p>
    <w:p w:rsidR="00810C7E" w:rsidRDefault="00810C7E" w:rsidP="00810C7E">
      <w:pPr>
        <w:jc w:val="center"/>
        <w:rPr>
          <w:rFonts w:ascii="Tahoma" w:hAnsi="Tahoma" w:cs="Tahoma"/>
          <w:b/>
          <w:sz w:val="20"/>
          <w:szCs w:val="20"/>
        </w:rPr>
      </w:pPr>
    </w:p>
    <w:p w:rsidR="00B668E5" w:rsidRPr="00876F03" w:rsidRDefault="00810C7E" w:rsidP="00876F03">
      <w:pPr>
        <w:jc w:val="center"/>
        <w:rPr>
          <w:rFonts w:ascii="Tahoma" w:hAnsi="Tahoma" w:cs="Tahoma"/>
          <w:b/>
          <w:sz w:val="20"/>
          <w:szCs w:val="20"/>
        </w:rPr>
      </w:pPr>
      <w:r w:rsidRPr="00810C7E">
        <w:drawing>
          <wp:inline distT="0" distB="0" distL="0" distR="0" wp14:anchorId="330F4D12" wp14:editId="6D0C689A">
            <wp:extent cx="5674374" cy="6078931"/>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5725" cy="6080378"/>
                    </a:xfrm>
                    <a:prstGeom prst="rect">
                      <a:avLst/>
                    </a:prstGeom>
                    <a:noFill/>
                    <a:ln>
                      <a:noFill/>
                    </a:ln>
                  </pic:spPr>
                </pic:pic>
              </a:graphicData>
            </a:graphic>
          </wp:inline>
        </w:drawing>
      </w:r>
    </w:p>
    <w:p w:rsidR="00F230CE" w:rsidRPr="00876F03" w:rsidRDefault="00F230CE" w:rsidP="00876F03">
      <w:pPr>
        <w:rPr>
          <w:rFonts w:ascii="Tahoma" w:hAnsi="Tahoma" w:cs="Tahoma"/>
          <w:sz w:val="20"/>
          <w:szCs w:val="20"/>
        </w:rPr>
      </w:pPr>
    </w:p>
    <w:p w:rsidR="0087181E" w:rsidRPr="00876F03" w:rsidRDefault="00F230CE" w:rsidP="00876F03">
      <w:pPr>
        <w:rPr>
          <w:rFonts w:ascii="Tahoma" w:hAnsi="Tahoma" w:cs="Tahoma"/>
          <w:sz w:val="20"/>
          <w:szCs w:val="20"/>
        </w:rPr>
      </w:pPr>
      <w:r w:rsidRPr="00876F03">
        <w:rPr>
          <w:rFonts w:ascii="Tahoma" w:hAnsi="Tahoma" w:cs="Tahoma"/>
          <w:sz w:val="20"/>
          <w:szCs w:val="20"/>
        </w:rPr>
        <w:t xml:space="preserve">Manizales, a los </w:t>
      </w:r>
      <w:r w:rsidR="00005D2E">
        <w:rPr>
          <w:rFonts w:ascii="Tahoma" w:hAnsi="Tahoma" w:cs="Tahoma"/>
          <w:sz w:val="20"/>
          <w:szCs w:val="20"/>
        </w:rPr>
        <w:t xml:space="preserve"> </w:t>
      </w:r>
      <w:bookmarkStart w:id="0" w:name="_GoBack"/>
      <w:bookmarkEnd w:id="0"/>
    </w:p>
    <w:sectPr w:rsidR="0087181E" w:rsidRPr="00876F03" w:rsidSect="00204B15">
      <w:headerReference w:type="default" r:id="rId12"/>
      <w:footerReference w:type="default" r:id="rId13"/>
      <w:pgSz w:w="12240" w:h="15840"/>
      <w:pgMar w:top="1740" w:right="1531" w:bottom="2211" w:left="1588" w:header="709" w:footer="1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EF" w:rsidRDefault="009763EF" w:rsidP="00151BDE">
      <w:r>
        <w:separator/>
      </w:r>
    </w:p>
  </w:endnote>
  <w:endnote w:type="continuationSeparator" w:id="0">
    <w:p w:rsidR="009763EF" w:rsidRDefault="009763E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default"/>
    <w:sig w:usb0="00000000" w:usb1="00000000"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9A6B47">
              <w:rPr>
                <w:rFonts w:ascii="Tahoma" w:hAnsi="Tahoma" w:cs="Tahoma"/>
                <w:b/>
                <w:bCs/>
                <w:noProof/>
                <w:sz w:val="16"/>
              </w:rPr>
              <w:t>3</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9A6B47">
              <w:rPr>
                <w:rFonts w:ascii="Tahoma" w:hAnsi="Tahoma" w:cs="Tahoma"/>
                <w:b/>
                <w:bCs/>
                <w:noProof/>
                <w:sz w:val="16"/>
              </w:rPr>
              <w:t>3</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EF" w:rsidRDefault="009763EF" w:rsidP="00151BDE">
      <w:r>
        <w:separator/>
      </w:r>
    </w:p>
  </w:footnote>
  <w:footnote w:type="continuationSeparator" w:id="0">
    <w:p w:rsidR="009763EF" w:rsidRDefault="009763E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8F023B">
    <w:pPr>
      <w:pStyle w:val="Encabezado"/>
    </w:pPr>
    <w:r>
      <w:rPr>
        <w:noProof/>
        <w:lang w:val="es-ES"/>
      </w:rPr>
      <w:drawing>
        <wp:anchor distT="0" distB="0" distL="114300" distR="114300" simplePos="0" relativeHeight="251658240" behindDoc="1" locked="0" layoutInCell="1" allowOverlap="1" wp14:anchorId="2A194273" wp14:editId="2616F338">
          <wp:simplePos x="0" y="0"/>
          <wp:positionH relativeFrom="column">
            <wp:posOffset>-985658</wp:posOffset>
          </wp:positionH>
          <wp:positionV relativeFrom="paragraph">
            <wp:posOffset>-441325</wp:posOffset>
          </wp:positionV>
          <wp:extent cx="7679055" cy="993711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055" cy="993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ES"/>
      </w:rPr>
      <w:drawing>
        <wp:inline distT="0" distB="0" distL="0" distR="0" wp14:anchorId="597D8315" wp14:editId="3F1AB15E">
          <wp:extent cx="5022850" cy="6533515"/>
          <wp:effectExtent l="0" t="0" r="6350" b="0"/>
          <wp:docPr id="5"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9">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9"/>
  </w:num>
  <w:num w:numId="5">
    <w:abstractNumId w:val="16"/>
  </w:num>
  <w:num w:numId="6">
    <w:abstractNumId w:val="12"/>
  </w:num>
  <w:num w:numId="7">
    <w:abstractNumId w:val="13"/>
  </w:num>
  <w:num w:numId="8">
    <w:abstractNumId w:val="21"/>
  </w:num>
  <w:num w:numId="9">
    <w:abstractNumId w:val="8"/>
  </w:num>
  <w:num w:numId="10">
    <w:abstractNumId w:val="6"/>
  </w:num>
  <w:num w:numId="11">
    <w:abstractNumId w:val="18"/>
  </w:num>
  <w:num w:numId="12">
    <w:abstractNumId w:val="17"/>
  </w:num>
  <w:num w:numId="13">
    <w:abstractNumId w:val="5"/>
  </w:num>
  <w:num w:numId="14">
    <w:abstractNumId w:val="20"/>
  </w:num>
  <w:num w:numId="15">
    <w:abstractNumId w:val="14"/>
  </w:num>
  <w:num w:numId="16">
    <w:abstractNumId w:val="15"/>
  </w:num>
  <w:num w:numId="17">
    <w:abstractNumId w:val="10"/>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D2E"/>
    <w:rsid w:val="0001185B"/>
    <w:rsid w:val="00014445"/>
    <w:rsid w:val="00017C45"/>
    <w:rsid w:val="0002348F"/>
    <w:rsid w:val="00024B68"/>
    <w:rsid w:val="00024F68"/>
    <w:rsid w:val="0003132A"/>
    <w:rsid w:val="00032379"/>
    <w:rsid w:val="000401F8"/>
    <w:rsid w:val="00041BAA"/>
    <w:rsid w:val="000432C3"/>
    <w:rsid w:val="000461ED"/>
    <w:rsid w:val="00050C78"/>
    <w:rsid w:val="00066242"/>
    <w:rsid w:val="0007298B"/>
    <w:rsid w:val="00072EA6"/>
    <w:rsid w:val="00072F5B"/>
    <w:rsid w:val="000733E5"/>
    <w:rsid w:val="0008112E"/>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5AC"/>
    <w:rsid w:val="001D06A7"/>
    <w:rsid w:val="001D0C3A"/>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511C"/>
    <w:rsid w:val="002634C3"/>
    <w:rsid w:val="00263CA9"/>
    <w:rsid w:val="00272286"/>
    <w:rsid w:val="00274114"/>
    <w:rsid w:val="00275A9F"/>
    <w:rsid w:val="00275B88"/>
    <w:rsid w:val="00283C64"/>
    <w:rsid w:val="002963B4"/>
    <w:rsid w:val="002A2FAC"/>
    <w:rsid w:val="002B1CEF"/>
    <w:rsid w:val="002D66DF"/>
    <w:rsid w:val="002E065F"/>
    <w:rsid w:val="002E4777"/>
    <w:rsid w:val="002E621E"/>
    <w:rsid w:val="002E705A"/>
    <w:rsid w:val="002F1859"/>
    <w:rsid w:val="00300796"/>
    <w:rsid w:val="00301706"/>
    <w:rsid w:val="00302E06"/>
    <w:rsid w:val="00305D92"/>
    <w:rsid w:val="0031000D"/>
    <w:rsid w:val="0032209F"/>
    <w:rsid w:val="00322889"/>
    <w:rsid w:val="00322967"/>
    <w:rsid w:val="003232AB"/>
    <w:rsid w:val="00323A15"/>
    <w:rsid w:val="00323D4B"/>
    <w:rsid w:val="00333854"/>
    <w:rsid w:val="003343EE"/>
    <w:rsid w:val="00336B86"/>
    <w:rsid w:val="00341875"/>
    <w:rsid w:val="003467E1"/>
    <w:rsid w:val="00350762"/>
    <w:rsid w:val="003566CE"/>
    <w:rsid w:val="00357D01"/>
    <w:rsid w:val="00365E0E"/>
    <w:rsid w:val="00374244"/>
    <w:rsid w:val="00380556"/>
    <w:rsid w:val="00386E07"/>
    <w:rsid w:val="00394AF8"/>
    <w:rsid w:val="003B06BD"/>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216BA"/>
    <w:rsid w:val="004217F4"/>
    <w:rsid w:val="0042401F"/>
    <w:rsid w:val="00425C10"/>
    <w:rsid w:val="004264D0"/>
    <w:rsid w:val="00431B0E"/>
    <w:rsid w:val="00443373"/>
    <w:rsid w:val="004477B4"/>
    <w:rsid w:val="0045035C"/>
    <w:rsid w:val="0045257C"/>
    <w:rsid w:val="00456F7D"/>
    <w:rsid w:val="00463176"/>
    <w:rsid w:val="00467DE4"/>
    <w:rsid w:val="00475180"/>
    <w:rsid w:val="00477ED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14A03"/>
    <w:rsid w:val="005208E5"/>
    <w:rsid w:val="00520E7D"/>
    <w:rsid w:val="0052645C"/>
    <w:rsid w:val="00530398"/>
    <w:rsid w:val="0053532D"/>
    <w:rsid w:val="005363E6"/>
    <w:rsid w:val="005433E0"/>
    <w:rsid w:val="0056031D"/>
    <w:rsid w:val="00566EFF"/>
    <w:rsid w:val="005672BF"/>
    <w:rsid w:val="005708E8"/>
    <w:rsid w:val="0057230A"/>
    <w:rsid w:val="005724DD"/>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577B"/>
    <w:rsid w:val="0062767E"/>
    <w:rsid w:val="00640986"/>
    <w:rsid w:val="006442F7"/>
    <w:rsid w:val="0065382D"/>
    <w:rsid w:val="00653CAB"/>
    <w:rsid w:val="00680941"/>
    <w:rsid w:val="00683960"/>
    <w:rsid w:val="006852C5"/>
    <w:rsid w:val="0069590B"/>
    <w:rsid w:val="006972D8"/>
    <w:rsid w:val="006A519E"/>
    <w:rsid w:val="006A5AE7"/>
    <w:rsid w:val="006A5E6C"/>
    <w:rsid w:val="006A68D3"/>
    <w:rsid w:val="006C3DCC"/>
    <w:rsid w:val="006C400B"/>
    <w:rsid w:val="006D0A7A"/>
    <w:rsid w:val="006D632D"/>
    <w:rsid w:val="006E73EF"/>
    <w:rsid w:val="006F0D10"/>
    <w:rsid w:val="006F1C36"/>
    <w:rsid w:val="006F2613"/>
    <w:rsid w:val="006F37A4"/>
    <w:rsid w:val="006F7A8D"/>
    <w:rsid w:val="00700BE7"/>
    <w:rsid w:val="007049FC"/>
    <w:rsid w:val="007069A3"/>
    <w:rsid w:val="00716EA4"/>
    <w:rsid w:val="007225A1"/>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3B5A"/>
    <w:rsid w:val="007855F4"/>
    <w:rsid w:val="00787428"/>
    <w:rsid w:val="00793F90"/>
    <w:rsid w:val="007945CD"/>
    <w:rsid w:val="007A1168"/>
    <w:rsid w:val="007B355D"/>
    <w:rsid w:val="007B4FDF"/>
    <w:rsid w:val="007C3E1F"/>
    <w:rsid w:val="007D1545"/>
    <w:rsid w:val="007D3038"/>
    <w:rsid w:val="007D525F"/>
    <w:rsid w:val="007E0953"/>
    <w:rsid w:val="007E450B"/>
    <w:rsid w:val="007E497B"/>
    <w:rsid w:val="00801BCE"/>
    <w:rsid w:val="008058A7"/>
    <w:rsid w:val="0080647C"/>
    <w:rsid w:val="00810C7E"/>
    <w:rsid w:val="00813446"/>
    <w:rsid w:val="00813DA5"/>
    <w:rsid w:val="00814AD5"/>
    <w:rsid w:val="00822579"/>
    <w:rsid w:val="008244BD"/>
    <w:rsid w:val="00825204"/>
    <w:rsid w:val="00827010"/>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23B"/>
    <w:rsid w:val="008F63B7"/>
    <w:rsid w:val="00905F0A"/>
    <w:rsid w:val="0090655B"/>
    <w:rsid w:val="00907A87"/>
    <w:rsid w:val="00911757"/>
    <w:rsid w:val="00913BF4"/>
    <w:rsid w:val="0091510D"/>
    <w:rsid w:val="009152F2"/>
    <w:rsid w:val="009253DA"/>
    <w:rsid w:val="00925F1E"/>
    <w:rsid w:val="00930549"/>
    <w:rsid w:val="00931A9D"/>
    <w:rsid w:val="00932C14"/>
    <w:rsid w:val="00937D1B"/>
    <w:rsid w:val="00940C9A"/>
    <w:rsid w:val="00942B3A"/>
    <w:rsid w:val="00944393"/>
    <w:rsid w:val="009518D8"/>
    <w:rsid w:val="009538C0"/>
    <w:rsid w:val="009571FF"/>
    <w:rsid w:val="00970C77"/>
    <w:rsid w:val="00975E3D"/>
    <w:rsid w:val="009763EF"/>
    <w:rsid w:val="009771B1"/>
    <w:rsid w:val="00983BA8"/>
    <w:rsid w:val="00997EA1"/>
    <w:rsid w:val="009A1EEB"/>
    <w:rsid w:val="009A1F8B"/>
    <w:rsid w:val="009A4168"/>
    <w:rsid w:val="009A6B47"/>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0D29"/>
    <w:rsid w:val="00A33F75"/>
    <w:rsid w:val="00A379B9"/>
    <w:rsid w:val="00A402FE"/>
    <w:rsid w:val="00A417EA"/>
    <w:rsid w:val="00A43CD6"/>
    <w:rsid w:val="00A54F3E"/>
    <w:rsid w:val="00A5578A"/>
    <w:rsid w:val="00A67E0F"/>
    <w:rsid w:val="00A67E8C"/>
    <w:rsid w:val="00A80381"/>
    <w:rsid w:val="00A82932"/>
    <w:rsid w:val="00A82969"/>
    <w:rsid w:val="00A82C3F"/>
    <w:rsid w:val="00A857FF"/>
    <w:rsid w:val="00A8708D"/>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1741A"/>
    <w:rsid w:val="00B22C12"/>
    <w:rsid w:val="00B23D9F"/>
    <w:rsid w:val="00B337B1"/>
    <w:rsid w:val="00B47E5D"/>
    <w:rsid w:val="00B50A2F"/>
    <w:rsid w:val="00B5718C"/>
    <w:rsid w:val="00B6133A"/>
    <w:rsid w:val="00B635C5"/>
    <w:rsid w:val="00B638DA"/>
    <w:rsid w:val="00B63DDF"/>
    <w:rsid w:val="00B668E5"/>
    <w:rsid w:val="00B7415F"/>
    <w:rsid w:val="00B74719"/>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5615"/>
    <w:rsid w:val="00C25F55"/>
    <w:rsid w:val="00C2719A"/>
    <w:rsid w:val="00C2743B"/>
    <w:rsid w:val="00C3085A"/>
    <w:rsid w:val="00C315A8"/>
    <w:rsid w:val="00C41304"/>
    <w:rsid w:val="00C50611"/>
    <w:rsid w:val="00C56B3E"/>
    <w:rsid w:val="00C5786D"/>
    <w:rsid w:val="00C635ED"/>
    <w:rsid w:val="00C667F5"/>
    <w:rsid w:val="00C7494F"/>
    <w:rsid w:val="00C76E18"/>
    <w:rsid w:val="00C831CF"/>
    <w:rsid w:val="00C94086"/>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4D65"/>
    <w:rsid w:val="00D278AF"/>
    <w:rsid w:val="00D3234C"/>
    <w:rsid w:val="00D32E2C"/>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D1AC3"/>
    <w:rsid w:val="00DD5384"/>
    <w:rsid w:val="00DD5D2D"/>
    <w:rsid w:val="00DE496E"/>
    <w:rsid w:val="00DE548F"/>
    <w:rsid w:val="00DF1878"/>
    <w:rsid w:val="00E0628F"/>
    <w:rsid w:val="00E14E11"/>
    <w:rsid w:val="00E15D2C"/>
    <w:rsid w:val="00E165B2"/>
    <w:rsid w:val="00E2039C"/>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911DB"/>
    <w:rsid w:val="00EA1E0F"/>
    <w:rsid w:val="00EA6305"/>
    <w:rsid w:val="00EA702E"/>
    <w:rsid w:val="00EB156D"/>
    <w:rsid w:val="00EB1F9A"/>
    <w:rsid w:val="00EB3526"/>
    <w:rsid w:val="00EB3DC0"/>
    <w:rsid w:val="00EC3E77"/>
    <w:rsid w:val="00EC5116"/>
    <w:rsid w:val="00ED24E3"/>
    <w:rsid w:val="00ED6404"/>
    <w:rsid w:val="00ED660C"/>
    <w:rsid w:val="00ED71FC"/>
    <w:rsid w:val="00EE09C5"/>
    <w:rsid w:val="00EE6F0D"/>
    <w:rsid w:val="00EF30C7"/>
    <w:rsid w:val="00EF4092"/>
    <w:rsid w:val="00EF6C7F"/>
    <w:rsid w:val="00F03913"/>
    <w:rsid w:val="00F06DC3"/>
    <w:rsid w:val="00F135D6"/>
    <w:rsid w:val="00F13DC6"/>
    <w:rsid w:val="00F230CE"/>
    <w:rsid w:val="00F2707B"/>
    <w:rsid w:val="00F30129"/>
    <w:rsid w:val="00F34C57"/>
    <w:rsid w:val="00F42A09"/>
    <w:rsid w:val="00F42A94"/>
    <w:rsid w:val="00F45011"/>
    <w:rsid w:val="00F472C1"/>
    <w:rsid w:val="00F503D9"/>
    <w:rsid w:val="00F52D05"/>
    <w:rsid w:val="00F60011"/>
    <w:rsid w:val="00F62F54"/>
    <w:rsid w:val="00F6683A"/>
    <w:rsid w:val="00F810E3"/>
    <w:rsid w:val="00F822DA"/>
    <w:rsid w:val="00F943A8"/>
    <w:rsid w:val="00F96B15"/>
    <w:rsid w:val="00FB04AA"/>
    <w:rsid w:val="00FC19BD"/>
    <w:rsid w:val="00FC2F73"/>
    <w:rsid w:val="00FC6F89"/>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 w:id="210784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duque@manizales.gov.co" TargetMode="External"/><Relationship Id="rId4" Type="http://schemas.microsoft.com/office/2007/relationships/stylesWithEffects" Target="stylesWithEffects.xml"/><Relationship Id="rId9" Type="http://schemas.openxmlformats.org/officeDocument/2006/relationships/hyperlink" Target="mailto:vavilahernandez1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5530-C5C3-4490-B6C0-6A972481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Juan Carlos Jimenez Quintero</cp:lastModifiedBy>
  <cp:revision>55</cp:revision>
  <cp:lastPrinted>2019-06-17T22:15:00Z</cp:lastPrinted>
  <dcterms:created xsi:type="dcterms:W3CDTF">2017-08-24T14:26:00Z</dcterms:created>
  <dcterms:modified xsi:type="dcterms:W3CDTF">2019-06-17T22:19:00Z</dcterms:modified>
</cp:coreProperties>
</file>