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B38" w:rsidRPr="00945B38" w:rsidRDefault="00945B38" w:rsidP="00945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54"/>
      </w:tblGrid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5886"/>
            </w:tblGrid>
            <w:tr w:rsidR="00945B38" w:rsidRPr="00945B38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>
                        <wp:extent cx="952500" cy="1409700"/>
                        <wp:effectExtent l="0" t="0" r="0" b="0"/>
                        <wp:docPr id="16" name="Imagen 16" descr="https://alcaldiademanizales.isolucion.co/Medios4AlcManizale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alcaldiademanizales.isolucion.co/Medios4AlcManizale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PROCEDIMIENTO</w:t>
                  </w:r>
                </w:p>
              </w:tc>
            </w:tr>
            <w:tr w:rsidR="00945B38" w:rsidRPr="00945B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AFILIACIÓN POR LISTADO CENSAL A POBLACIÓN ICBF</w:t>
                  </w:r>
                </w:p>
              </w:tc>
            </w:tr>
            <w:tr w:rsidR="00945B38" w:rsidRPr="00945B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VERSIÓN 02</w:t>
                  </w:r>
                </w:p>
              </w:tc>
            </w:tr>
            <w:tr w:rsidR="00945B38" w:rsidRPr="00945B38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CÓDIGO GSP-AGC-PR-020</w:t>
                  </w: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CO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96" w:type="dxa"/>
                <w:left w:w="96" w:type="dxa"/>
                <w:bottom w:w="96" w:type="dxa"/>
                <w:right w:w="96" w:type="dxa"/>
              </w:tblCellMar>
              <w:tblLook w:val="04A0" w:firstRow="1" w:lastRow="0" w:firstColumn="1" w:lastColumn="0" w:noHBand="0" w:noVBand="1"/>
            </w:tblPr>
            <w:tblGrid>
              <w:gridCol w:w="3924"/>
              <w:gridCol w:w="3924"/>
            </w:tblGrid>
            <w:tr w:rsidR="00945B38" w:rsidRPr="00945B38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PROCESO ASEGURAMIENTO, ACCESIBILIDAD Y GARANTÍA DEL SERVICIO DE SALUD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CO"/>
                    </w:rPr>
                    <w:t>ESTADO VIGENTE</w:t>
                  </w: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1. OBJETIVO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45B38" w:rsidRPr="00945B3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5" name="Imagen 1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4" name="Imagen 1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3" name="Imagen 1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Garantizar la afiliación al régimen subsidiado en salud a través de una EPS de la población del ICBF con Medida de restablecimiento de Derechos. </w:t>
                        </w:r>
                      </w:p>
                    </w:tc>
                  </w:tr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2. ALCANCE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45B38" w:rsidRPr="00945B3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2" name="Imagen 1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11" name="Imagen 1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0" name="Imagen 10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Inicia con la entrega del Listado Censal por parte del ICBF, entidad que lo remite de manera mensual y culmina con la afiliación y aplicación de novedades o actualización de información según sea el caso. </w:t>
                        </w:r>
                      </w:p>
                    </w:tc>
                  </w:tr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3. RESPONSABLE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02"/>
                    <w:gridCol w:w="81"/>
                  </w:tblGrid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Maria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Eugenia Gómez Valencia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4. CONDICIONES GENERALES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45B38" w:rsidRPr="00945B3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9" name="Imagen 9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8" name="Imagen 8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7" name="Imagen 7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La persona debe estar certificada por el ICBF con Medida de Restablecimiento de Derechos, incluida en el listado censal que mensualmente remite el ICBF a esta Secretaría de Salud  </w:t>
                        </w:r>
                      </w:p>
                    </w:tc>
                  </w:tr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5. DEFINICIONES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</w:tr>
                  <w:tr w:rsidR="00945B38" w:rsidRPr="00945B3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6" name="Imagen 6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5" name="Imagen 5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4" name="Imagen 4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5.1. Listado Censal: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 Población que se encuentra definida por la normatividad vigente en condición de mayor vulnerabilidad, por lo tanto no requiere encuesta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Sisben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 xml:space="preserve"> para ingresar al Régimen Subsidiado. Centros de Protección al adulto mayor: Hogares que se encuentran certificados para atender de manera integral a la población adulta mayor.  </w:t>
                        </w:r>
                      </w:p>
                    </w:tc>
                  </w:tr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vanish/>
                      <w:lang w:eastAsia="es-CO"/>
                    </w:rPr>
                  </w:pPr>
                </w:p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6"/>
                    <w:gridCol w:w="75"/>
                    <w:gridCol w:w="7599"/>
                  </w:tblGrid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  <w:tr w:rsidR="00945B38" w:rsidRPr="00945B38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3" name="Imagen 3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22860" cy="22860"/>
                              <wp:effectExtent l="0" t="0" r="0" b="0"/>
                              <wp:docPr id="2" name="Imagen 2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" cy="228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noProof/>
                            <w:lang w:eastAsia="es-CO"/>
                          </w:rPr>
                          <w:drawing>
                            <wp:inline distT="0" distB="0" distL="0" distR="0">
                              <wp:extent cx="7620" cy="7620"/>
                              <wp:effectExtent l="0" t="0" r="0" b="0"/>
                              <wp:docPr id="1" name="Imagen 1" descr="https://alcaldiademanizales.isolucion.co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s://alcaldiademanizales.isolucion.co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  <w:t>5.2. Población ICBF: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 Personas que el ICBF incluye en listado censal con Medida de Restablecimiento de Derechos expedida por el ICBF, y que con esta medida reciben atención en las instituciones según modalidades, adscritas al ICBF.  </w:t>
                        </w:r>
                      </w:p>
                    </w:tc>
                  </w:tr>
                  <w:tr w:rsidR="00945B38" w:rsidRPr="00945B38">
                    <w:trPr>
                      <w:trHeight w:val="6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6. DOCUMENTACIÓN EXTERNA RELACIONADA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7783"/>
                  </w:tblGrid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es-CO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</w:pPr>
                        <w:hyperlink r:id="rId6" w:history="1">
                          <w:r w:rsidRPr="00945B3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Ley 1098 de 2006</w:t>
                          </w:r>
                        </w:hyperlink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7" w:history="1">
                          <w:r w:rsidRPr="00945B3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Decreto 780 de 2016</w:t>
                          </w:r>
                        </w:hyperlink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8" w:history="1">
                          <w:r w:rsidRPr="00945B3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Resolución 3778 de 2011</w:t>
                          </w:r>
                        </w:hyperlink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hyperlink r:id="rId9" w:history="1">
                          <w:r w:rsidRPr="00945B38">
                            <w:rPr>
                              <w:rFonts w:ascii="Calibri" w:eastAsia="Times New Roman" w:hAnsi="Calibri" w:cs="Times New Roman"/>
                              <w:color w:val="0000FF"/>
                              <w:u w:val="single"/>
                              <w:lang w:eastAsia="es-CO"/>
                            </w:rPr>
                            <w:t>- Circular 006 de 2011</w:t>
                          </w:r>
                        </w:hyperlink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Ley 1098 de 2006 Código de Infancia y Adolescencia.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Decreto 780 de 2016. Decreto Único reglamentario del Sector Salud y Protección Social.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Resolución 3778 de 2011. Por medio del cual se definen los puntos de corte del SISBEN para la afiliación al Régimen Subsidiado en Salud.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 xml:space="preserve">Resolución SSP 2139 de 2014 expedida por Secretaría de Salud con el aval del Consejo Territorial de Seguridad Social en Salud y por medio de la cual se define la continuidad de los menores y ancianos bajo listado censal en la Seguridad social como listado censal, sin encuesta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Sisben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t>.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Resolución 2339 de 2017, por medio de la cual se definen las Entidades responsables de la generación, consolidación y reportes de los listados censales.</w:t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</w:r>
                        <w:r w:rsidRPr="00945B38">
                          <w:rPr>
                            <w:rFonts w:ascii="Calibri" w:eastAsia="Times New Roman" w:hAnsi="Calibri" w:cs="Times New Roman"/>
                            <w:lang w:eastAsia="es-CO"/>
                          </w:rPr>
                          <w:br/>
                          <w:t>Circular 006 de 2011 de la SNS. Imparte instrucciones a los Municipios y EPS, para la auditoría de los procesos del régimen subsidiado en salud</w:t>
                        </w: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7. DESARROLLO</w:t>
                  </w: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1962"/>
              <w:gridCol w:w="1962"/>
              <w:gridCol w:w="1962"/>
              <w:gridCol w:w="1962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CO"/>
                    </w:rPr>
                    <w:t>CÓMO LO HACE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Recepción del listado Censal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Correo electrónico de María Eugenia Gómez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Mediante correo electrónico el ICBF de manera mensual envía el listado censal con los menores afiliados al régimen subsidiado. 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Validar la información suministrada en el Listado Censal de población ICBF con Medida de restablecimiento de Derechos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- </w:t>
                  </w:r>
                  <w:proofErr w:type="spellStart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Jhon</w:t>
                  </w:r>
                  <w:proofErr w:type="spellEnd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Fredy Medina Castro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Listado censal 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Listado de Novedades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Al validar la información y mediante cruces de información de las bases de datos de régimen subsidiado, se identifican los siguientes casos para el trámite de la afiliación, continuidad o retiro del régimen subsidiado, según 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sea el caso, así: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Menores sin afiliación al Sistema de Salud según consulta en BDUA y en módulo de aseguramiento de la Secretaría de Salud o que requieren traslado de EPS por cambio de residencia de Municipio.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Casos para actualización de datos de identificación o de grupo poblacional.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 xml:space="preserve">Casos con novedad egreso: Para éstos se verifica si tienen el </w:t>
                  </w:r>
                  <w:proofErr w:type="spellStart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Sisben</w:t>
                  </w:r>
                  <w:proofErr w:type="spellEnd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en el Municipio de Manizales bajo los puntos de corte reglamentados en la Resolución 3778 de 2011, se actualizan con esta clasificación y se les garantiza la continuidad en el aseguramiento o se aplica la Resolución 2139 de 2014 para los mayores de edad y para los menores se aplica el parágrafo 4 del artículo 2.1.3.11 del Decreto 780 de 2016. 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lastRenderedPageBreak/>
                    <w:t>Realizar visitas Institucionales de seguimiento al listado censal y de capacitación en aseguramiento.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- </w:t>
                  </w:r>
                  <w:proofErr w:type="spellStart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Maria</w:t>
                  </w:r>
                  <w:proofErr w:type="spellEnd"/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 xml:space="preserve"> Eugenia Gómez Valencia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Cronograma de visitas anuales y Acta de visita con la descripción de lo realizado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t>De acuerdo al cronograma se hacen las visitas institucionales con el funcionario responsable y se verifica de manera general el listado censal, los ingresos, egresos, actualización de documentos de identidad.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Al inicio de la jornada se dicta charla de aseguramiento según la necesidad detectada. </w:t>
                  </w:r>
                  <w:r w:rsidRPr="00945B38">
                    <w:rPr>
                      <w:rFonts w:ascii="Calibri" w:eastAsia="Times New Roman" w:hAnsi="Calibri" w:cs="Times New Roman"/>
                      <w:lang w:eastAsia="es-CO"/>
                    </w:rPr>
                    <w:br/>
                    <w:t> </w:t>
                  </w: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8. CONTENIDO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64"/>
            </w:tblGrid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LISTA DE VERSIONES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77"/>
                    <w:gridCol w:w="1177"/>
                    <w:gridCol w:w="5494"/>
                  </w:tblGrid>
                  <w:tr w:rsidR="00945B38" w:rsidRPr="00945B38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CO"/>
                          </w:rPr>
                          <w:t>RAZÓN DE LA ACTUALIZACIÓN</w:t>
                        </w: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  <w:tr w:rsidR="00945B38" w:rsidRPr="00945B38" w:rsidTr="00945B38">
        <w:trPr>
          <w:trHeight w:val="18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945B38" w:rsidRPr="00945B38" w:rsidTr="00945B3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668"/>
              <w:gridCol w:w="2668"/>
            </w:tblGrid>
            <w:tr w:rsidR="00945B38" w:rsidRPr="00945B38">
              <w:trPr>
                <w:trHeight w:val="300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45B38" w:rsidRPr="00945B38" w:rsidRDefault="00945B38" w:rsidP="00945B3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</w:pPr>
                  <w:r w:rsidRPr="00945B3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CO"/>
                    </w:rPr>
                    <w:t>APROBÓ</w:t>
                  </w:r>
                </w:p>
              </w:tc>
            </w:tr>
            <w:tr w:rsidR="00945B38" w:rsidRPr="00945B38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597"/>
                  </w:tblGrid>
                  <w:tr w:rsidR="00945B38" w:rsidRPr="00945B38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Oscar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Julian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Garcia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Marin</w:t>
                        </w:r>
                        <w:proofErr w:type="spellEnd"/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Ninguno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11/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May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/2018</w:t>
                        </w: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945B38" w:rsidRPr="00945B38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Blanca Cecilia Largo Hernández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Profesional Especializado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11/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May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/2018</w:t>
                        </w: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"/>
                    <w:gridCol w:w="1753"/>
                  </w:tblGrid>
                  <w:tr w:rsidR="00945B38" w:rsidRPr="00945B38">
                    <w:trPr>
                      <w:trHeight w:val="720"/>
                      <w:tblCellSpacing w:w="15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 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Guillermo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Hernandez</w:t>
                        </w:r>
                        <w:proofErr w:type="spellEnd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 xml:space="preserve"> </w:t>
                        </w:r>
                        <w:proofErr w:type="spellStart"/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Gutierrez</w:t>
                        </w:r>
                        <w:proofErr w:type="spellEnd"/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Secretario de Despacho</w:t>
                        </w:r>
                      </w:p>
                    </w:tc>
                  </w:tr>
                  <w:tr w:rsidR="00945B38" w:rsidRPr="00945B3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CO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45B38" w:rsidRPr="00945B38" w:rsidRDefault="00945B38" w:rsidP="00945B38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</w:pPr>
                        <w:r w:rsidRPr="00945B38">
                          <w:rPr>
                            <w:rFonts w:ascii="Calibri" w:eastAsia="Times New Roman" w:hAnsi="Calibri" w:cs="Times New Roman"/>
                            <w:color w:val="000000"/>
                            <w:lang w:eastAsia="es-CO"/>
                          </w:rPr>
                          <w:t>01/Oct/2018</w:t>
                        </w:r>
                      </w:p>
                    </w:tc>
                  </w:tr>
                </w:tbl>
                <w:p w:rsidR="00945B38" w:rsidRPr="00945B38" w:rsidRDefault="00945B38" w:rsidP="00945B38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CO"/>
                    </w:rPr>
                  </w:pPr>
                </w:p>
              </w:tc>
            </w:tr>
          </w:tbl>
          <w:p w:rsidR="00945B38" w:rsidRPr="00945B38" w:rsidRDefault="00945B38" w:rsidP="0094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</w:p>
        </w:tc>
      </w:tr>
    </w:tbl>
    <w:p w:rsidR="0061278A" w:rsidRDefault="0061278A">
      <w:bookmarkStart w:id="0" w:name="_GoBack"/>
      <w:bookmarkEnd w:id="0"/>
    </w:p>
    <w:sectPr w:rsidR="006127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B38"/>
    <w:rsid w:val="0061278A"/>
    <w:rsid w:val="0094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68C5DE1-F372-425C-B597-988ACF46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945B38"/>
  </w:style>
  <w:style w:type="character" w:styleId="Hipervnculo">
    <w:name w:val="Hyperlink"/>
    <w:basedOn w:val="Fuentedeprrafopredeter"/>
    <w:uiPriority w:val="99"/>
    <w:semiHidden/>
    <w:unhideWhenUsed/>
    <w:rsid w:val="00945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caldiademanizales.isolucion.co/bancoconocimiento4AlcManizales/D/DFB66192-AFA5-4DBC-A480-9034E131B753/DFB66192-AFA5-4DBC-A480-9034E131B753.asp?IdArticulo=4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lcaldiademanizales.isolucion.co/bancoconocimiento4AlcManizales/3/3C80AB49-E9C1-4D7C-B02A-3BF9AB35CAD0/3C80AB49-E9C1-4D7C-B02A-3BF9AB35CAD0.asp?IdArticulo=23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lcaldiademanizales.isolucion.co/bancoconocimiento4AlcManizales/C/C1894D60-4951-42C0-949E-B746906FAF16/C1894D60-4951-42C0-949E-B746906FAF16.asp?IdArticulo=3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alcaldiademanizales.isolucion.co/bancoconocimiento4AlcManizales/7/7E97017C-B6AE-4DE7-8D78-986C842F31F7/7E97017C-B6AE-4DE7-8D78-986C842F31F7.asp?IdArticulo=245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Meza Uribe</dc:creator>
  <cp:keywords/>
  <dc:description/>
  <cp:lastModifiedBy>Leandra Meza Uribe</cp:lastModifiedBy>
  <cp:revision>1</cp:revision>
  <dcterms:created xsi:type="dcterms:W3CDTF">2019-05-03T13:18:00Z</dcterms:created>
  <dcterms:modified xsi:type="dcterms:W3CDTF">2019-05-03T13:19:00Z</dcterms:modified>
</cp:coreProperties>
</file>