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 xml:space="preserve">EL ALCALDE  DE MANIZALES, de conformidad con los artículos 37 y 73 de la Ley 1437 de 2011, dando cumplimiento al artículo  7º de la Resolución  Nº 1849 </w:t>
      </w:r>
      <w:bookmarkStart w:id="0" w:name="_GoBack"/>
      <w:bookmarkEnd w:id="0"/>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de octubre 10 de 2018, procede a publicar en la página electrónica de la Alcaldía Municipal, la parte Resolutiva  del citado acto administrativo:</w:t>
      </w:r>
    </w:p>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bien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105031600003000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93606</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JUAN EVANGELISTA SALAZAR HERRERA</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carrera 26 Nº 36 - 48, barrio Cervantes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1050316000030000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93606</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JUAN EVANGELISTA SALAZAR HERRERA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carrera  26 Nº 36 - 48</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l señor</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JUAN EVANGELISTA SALAZAR HERRERA</w:t>
      </w:r>
      <w:r>
        <w:rPr>
          <w:rFonts w:ascii="Arial Narrow" w:hAnsi="Arial Narrow" w:eastAsia="Calibri" w:cs="Tahoma"/>
          <w:b w:val="0"/>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su calidad de propietari</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1BA0BAB"/>
    <w:rsid w:val="07B23914"/>
    <w:rsid w:val="0A6838A3"/>
    <w:rsid w:val="13AA5F04"/>
    <w:rsid w:val="15611470"/>
    <w:rsid w:val="18617FCF"/>
    <w:rsid w:val="1D192377"/>
    <w:rsid w:val="1D297F18"/>
    <w:rsid w:val="21EE7EC7"/>
    <w:rsid w:val="26037FE1"/>
    <w:rsid w:val="260D0394"/>
    <w:rsid w:val="27913C23"/>
    <w:rsid w:val="28463800"/>
    <w:rsid w:val="2BA52845"/>
    <w:rsid w:val="37846522"/>
    <w:rsid w:val="3B014D8D"/>
    <w:rsid w:val="3BF63E57"/>
    <w:rsid w:val="40655F8C"/>
    <w:rsid w:val="414C6A03"/>
    <w:rsid w:val="43C97899"/>
    <w:rsid w:val="43CC50C7"/>
    <w:rsid w:val="48D62CD8"/>
    <w:rsid w:val="4A5C2D54"/>
    <w:rsid w:val="52B020C9"/>
    <w:rsid w:val="598B5A6D"/>
    <w:rsid w:val="5D142D4E"/>
    <w:rsid w:val="6C9A7677"/>
    <w:rsid w:val="6D9205E8"/>
    <w:rsid w:val="6E2922CC"/>
    <w:rsid w:val="73D2750D"/>
    <w:rsid w:val="756E3F1F"/>
    <w:rsid w:val="76071F21"/>
    <w:rsid w:val="7ED40784"/>
    <w:rsid w:val="7F105C3D"/>
    <w:rsid w:val="7F94046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semiHidden/>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semiHidden/>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semiHidden/>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link w:val="9"/>
    <w:unhideWhenUsed/>
    <w:qFormat/>
    <w:uiPriority w:val="99"/>
    <w:pPr>
      <w:tabs>
        <w:tab w:val="center" w:pos="4252"/>
        <w:tab w:val="right" w:pos="8504"/>
      </w:tabs>
    </w:pPr>
  </w:style>
  <w:style w:type="paragraph" w:styleId="6">
    <w:name w:val="footer"/>
    <w:basedOn w:val="1"/>
    <w:link w:val="10"/>
    <w:unhideWhenUsed/>
    <w:qFormat/>
    <w:uiPriority w:val="99"/>
    <w:pPr>
      <w:tabs>
        <w:tab w:val="center" w:pos="4252"/>
        <w:tab w:val="right" w:pos="8504"/>
      </w:tabs>
    </w:pPr>
  </w:style>
  <w:style w:type="character" w:customStyle="1" w:styleId="9">
    <w:name w:val="Encabezado Car"/>
    <w:basedOn w:val="7"/>
    <w:link w:val="5"/>
    <w:qFormat/>
    <w:uiPriority w:val="99"/>
  </w:style>
  <w:style w:type="character" w:customStyle="1" w:styleId="10">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ScaleCrop>false</ScaleCrop>
  <LinksUpToDate>false</LinksUpToDate>
  <CharactersWithSpaces>2192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lmuñozsa</cp:lastModifiedBy>
  <cp:lastPrinted>2018-09-05T19:48:00Z</cp:lastPrinted>
  <dcterms:modified xsi:type="dcterms:W3CDTF">2018-11-01T13:43:53Z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