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2011- Código  de Procedimiento Administrativo y de la Contencioso Administrativo y ante la no comparecencia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both"/>
        <w:rPr>
          <w:rFonts w:hint="default" w:ascii="Arial" w:hAnsi="Arial" w:cs="Arial"/>
          <w:b/>
          <w:bCs/>
          <w:sz w:val="20"/>
          <w:szCs w:val="20"/>
          <w:lang w:val="es-ES"/>
        </w:rPr>
      </w:pPr>
      <w:r>
        <w:rPr>
          <w:rFonts w:hint="default" w:ascii="Arial" w:hAnsi="Arial" w:cs="Arial"/>
          <w:b/>
          <w:bCs/>
          <w:sz w:val="20"/>
          <w:szCs w:val="20"/>
          <w:lang w:val="es-ES"/>
        </w:rPr>
        <w:t>La Oficina de Control Urbano de la Secretaria de Planeación dentro del   Proceso Administrativo por Amenaza de Ruina, distinguido bajo el Nº  033 - 2017,  de un bien inmueble ubicado  en la CALLE 13 Nº 13 - 29, Barrio Las Amerícas, ,  por medio del    Oficio OCU 2488  de octubre dieciocho  (18) de dos mil dieciocho (2018), citó al señor</w:t>
      </w:r>
      <w:r>
        <w:rPr>
          <w:rFonts w:hint="default" w:ascii="Arial Black" w:hAnsi="Arial Black" w:cs="Arial Black"/>
          <w:b/>
          <w:bCs/>
          <w:sz w:val="20"/>
          <w:szCs w:val="20"/>
          <w:lang w:val="es-ES"/>
        </w:rPr>
        <w:t xml:space="preserve"> CARLOS CANO SUAREZ</w:t>
      </w:r>
      <w:r>
        <w:rPr>
          <w:rFonts w:hint="default" w:ascii="Arial" w:hAnsi="Arial" w:cs="Arial"/>
          <w:b/>
          <w:bCs/>
          <w:sz w:val="20"/>
          <w:szCs w:val="20"/>
          <w:lang w:val="es-ES"/>
        </w:rPr>
        <w:t>,  con la finalidad de notificarlo personalmente del contenido de la Resolución Nº 1841 de fecha octubre diez (10) de dos mil dieciocho (2018), proferida por el señor Alcalde del Municipio de Manizales, por medio de la cual se declaró en estado ruina un inmueble y se impuso una medida correctiva de demolición.</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 xml:space="preserve">Ante la no comparecencia del señor </w:t>
      </w:r>
      <w:r>
        <w:rPr>
          <w:rFonts w:hint="default" w:ascii="Arial Black" w:hAnsi="Arial Black" w:cs="Arial Black"/>
          <w:b/>
          <w:bCs/>
          <w:sz w:val="20"/>
          <w:szCs w:val="20"/>
          <w:lang w:val="es-ES"/>
        </w:rPr>
        <w:t>CARLOS CANO SUAREZ</w:t>
      </w:r>
      <w:r>
        <w:rPr>
          <w:rFonts w:hint="default" w:ascii="Arial" w:hAnsi="Arial" w:cs="Arial"/>
          <w:b/>
          <w:bCs/>
          <w:sz w:val="20"/>
          <w:szCs w:val="20"/>
          <w:lang w:val="es-ES"/>
        </w:rPr>
        <w:t>, ,  por medio del presente aviso se procede a notificarlo  del contenido  de la Resolución Nº 1841 de fecha octubre diez (10) de dos mil dieciocho (2018), proferida por el señor Alcalde del Municipio de Manizales, por medio de la cual se declaró en estado ruina un inmueble y se impuso una medida correctiva de demolición,  contra el cual les asiste el derecho, dentro de los diez (10)  días hábiles siguientes a la fecha de desfijación de este aviso, de interponer recurso de reposición ante el señor Alcalde del Municipio de Manizales, en los términos del articulo 76 de la Ley 1437 de 2011-</w:t>
      </w:r>
    </w:p>
    <w:p>
      <w:pPr>
        <w:jc w:val="both"/>
        <w:rPr>
          <w:rFonts w:hint="default" w:ascii="Arial" w:hAnsi="Arial" w:cs="Arial"/>
          <w:b/>
          <w:bCs/>
          <w:sz w:val="20"/>
          <w:szCs w:val="20"/>
          <w:lang w:val="es-ES"/>
        </w:rPr>
      </w:pPr>
    </w:p>
    <w:p>
      <w:pPr>
        <w:jc w:val="both"/>
        <w:rPr>
          <w:rFonts w:hint="default" w:ascii="Arial" w:hAnsi="Arial" w:cs="Arial"/>
          <w:b/>
          <w:bCs/>
          <w:sz w:val="32"/>
          <w:szCs w:val="32"/>
          <w:lang w:val="es-ES"/>
        </w:rPr>
      </w:pPr>
      <w:r>
        <w:rPr>
          <w:rFonts w:hint="default" w:ascii="Arial" w:hAnsi="Arial" w:cs="Arial"/>
          <w:b/>
          <w:bCs/>
          <w:sz w:val="24"/>
          <w:szCs w:val="24"/>
          <w:lang w:val="es-ES"/>
        </w:rPr>
        <w:t xml:space="preserve"> </w:t>
      </w:r>
      <w:r>
        <w:rPr>
          <w:rFonts w:hint="default" w:ascii="Arial" w:hAnsi="Arial" w:cs="Arial"/>
          <w:b/>
          <w:bCs/>
          <w:sz w:val="32"/>
          <w:szCs w:val="32"/>
          <w:lang w:val="es-ES"/>
        </w:rPr>
        <w:t>La notificación  se entenderá surtida al finalizar el  día hábil siguiente al de la entrega del aviso en el lugar del destino.</w:t>
      </w:r>
    </w:p>
    <w:p>
      <w:pPr>
        <w:jc w:val="both"/>
        <w:rPr>
          <w:rFonts w:hint="default" w:ascii="Arial" w:hAnsi="Arial" w:cs="Arial"/>
          <w:b/>
          <w:bCs/>
          <w:sz w:val="32"/>
          <w:szCs w:val="32"/>
          <w:lang w:val="es-ES"/>
        </w:rPr>
      </w:pPr>
      <w:bookmarkStart w:id="0" w:name="_GoBack"/>
      <w:bookmarkEnd w:id="0"/>
    </w:p>
    <w:p>
      <w:pPr>
        <w:jc w:val="both"/>
        <w:rPr>
          <w:rFonts w:hint="default" w:ascii="Arial" w:hAnsi="Arial" w:cs="Arial"/>
          <w:b/>
          <w:bCs/>
          <w:sz w:val="36"/>
          <w:szCs w:val="36"/>
          <w:lang w:val="es-ES"/>
        </w:rPr>
      </w:pPr>
    </w:p>
    <w:p>
      <w:pPr>
        <w:jc w:val="both"/>
        <w:rPr>
          <w:rFonts w:hint="default" w:ascii="Arial" w:hAnsi="Arial" w:cs="Arial"/>
          <w:b/>
          <w:bCs/>
          <w:sz w:val="36"/>
          <w:szCs w:val="36"/>
          <w:lang w:val="es-ES"/>
        </w:rPr>
      </w:pPr>
    </w:p>
    <w:p>
      <w:pPr>
        <w:jc w:val="both"/>
        <w:rPr>
          <w:rFonts w:hint="default" w:ascii="Arial" w:hAnsi="Arial" w:cs="Arial"/>
          <w:b/>
          <w:bCs/>
          <w:sz w:val="36"/>
          <w:szCs w:val="36"/>
          <w:lang w:val="es-ES"/>
        </w:rPr>
      </w:pPr>
    </w:p>
    <w:p>
      <w:pPr>
        <w:jc w:val="both"/>
        <w:rPr>
          <w:rFonts w:hint="default" w:ascii="Arial" w:hAnsi="Arial" w:cs="Arial"/>
          <w:b/>
          <w:bCs/>
          <w:sz w:val="36"/>
          <w:szCs w:val="36"/>
          <w:lang w:val="es-ES"/>
        </w:rPr>
      </w:pPr>
    </w:p>
    <w:p>
      <w:pPr>
        <w:jc w:val="both"/>
        <w:rPr>
          <w:rFonts w:hint="default" w:ascii="Arial" w:hAnsi="Arial" w:cs="Arial"/>
          <w:b/>
          <w:bCs/>
          <w:lang w:val="es-ES"/>
        </w:rPr>
      </w:pPr>
      <w:r>
        <w:rPr>
          <w:rFonts w:hint="default" w:ascii="Arial" w:hAnsi="Arial" w:cs="Arial"/>
          <w:b/>
          <w:bCs/>
          <w:lang w:val="es-ES"/>
        </w:rPr>
        <w:t>JORGE ALBERTO VASQUEZ BOTERO</w:t>
      </w:r>
    </w:p>
    <w:p>
      <w:pPr>
        <w:jc w:val="both"/>
        <w:rPr>
          <w:rFonts w:hint="default" w:ascii="Arial" w:hAnsi="Arial" w:cs="Arial"/>
          <w:b/>
          <w:bCs/>
          <w:lang w:val="es-ES"/>
        </w:rPr>
      </w:pPr>
      <w:r>
        <w:rPr>
          <w:rFonts w:hint="default" w:ascii="Arial" w:hAnsi="Arial" w:cs="Arial"/>
          <w:b/>
          <w:bCs/>
          <w:lang w:val="es-ES"/>
        </w:rPr>
        <w:t>Profesional Universitario</w:t>
      </w:r>
    </w:p>
    <w:p>
      <w:pPr>
        <w:jc w:val="both"/>
        <w:rPr>
          <w:rFonts w:hint="default" w:ascii="Arial" w:hAnsi="Arial" w:cs="Arial"/>
          <w:b/>
          <w:bCs/>
          <w:lang w:val="es-ES"/>
        </w:rPr>
      </w:pPr>
      <w:r>
        <w:rPr>
          <w:rFonts w:hint="default" w:ascii="Arial" w:hAnsi="Arial" w:cs="Arial"/>
          <w:b/>
          <w:bCs/>
          <w:lang w:val="es-ES"/>
        </w:rPr>
        <w:t>Oficina de Control Urbano</w:t>
      </w:r>
    </w:p>
    <w:p>
      <w:pPr>
        <w:jc w:val="both"/>
        <w:rPr>
          <w:rFonts w:hint="default" w:ascii="Arial" w:hAnsi="Arial" w:cs="Arial"/>
          <w:b/>
          <w:bCs/>
          <w:lang w:val="es-ES"/>
        </w:rPr>
      </w:pPr>
      <w:r>
        <w:rPr>
          <w:rFonts w:hint="default" w:ascii="Arial" w:hAnsi="Arial" w:cs="Arial"/>
          <w:b/>
          <w:bCs/>
          <w:lang w:val="es-ES"/>
        </w:rPr>
        <w:t>Secretaria de Planeación</w:t>
      </w:r>
    </w:p>
    <w:p>
      <w:pPr>
        <w:jc w:val="both"/>
        <w:rPr>
          <w:rFonts w:hint="default" w:ascii="Arial" w:hAnsi="Arial" w:cs="Arial"/>
          <w:b/>
          <w:bCs/>
          <w:lang w:val="es-ES"/>
        </w:rPr>
      </w:pPr>
    </w:p>
    <w:p>
      <w:pPr>
        <w:jc w:val="both"/>
        <w:rPr>
          <w:rFonts w:hint="default" w:ascii="Arial" w:hAnsi="Arial" w:cs="Arial"/>
          <w:b w:val="0"/>
          <w:bCs w:val="0"/>
          <w:lang w:val="es-ES"/>
        </w:rPr>
      </w:pPr>
    </w:p>
    <w:p>
      <w:pPr>
        <w:jc w:val="both"/>
        <w:rPr>
          <w:rFonts w:hint="default" w:ascii="Arial" w:hAnsi="Arial" w:cs="Arial"/>
          <w:b w:val="0"/>
          <w:bCs w:val="0"/>
          <w:lang w:val="es-ES"/>
        </w:rPr>
      </w:pPr>
    </w:p>
    <w:p/>
    <w:p>
      <w:pPr>
        <w:jc w:val="both"/>
        <w:rPr>
          <w:rFonts w:ascii="Arial" w:hAnsi="Arial"/>
          <w:b/>
          <w:bCs/>
          <w:sz w:val="52"/>
          <w:szCs w:val="52"/>
          <w:lang w:val="es-ES"/>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7B23914"/>
    <w:rsid w:val="0A6838A3"/>
    <w:rsid w:val="109939D8"/>
    <w:rsid w:val="13AA5F04"/>
    <w:rsid w:val="18617FCF"/>
    <w:rsid w:val="26037FE1"/>
    <w:rsid w:val="27913C23"/>
    <w:rsid w:val="302045D6"/>
    <w:rsid w:val="37846522"/>
    <w:rsid w:val="3B014D8D"/>
    <w:rsid w:val="3BF63E57"/>
    <w:rsid w:val="414C6A03"/>
    <w:rsid w:val="43C97899"/>
    <w:rsid w:val="48D62CD8"/>
    <w:rsid w:val="4EA3123E"/>
    <w:rsid w:val="5146101E"/>
    <w:rsid w:val="52B020C9"/>
    <w:rsid w:val="591B01C7"/>
    <w:rsid w:val="598B5A6D"/>
    <w:rsid w:val="6C9A7677"/>
    <w:rsid w:val="6D9205E8"/>
    <w:rsid w:val="73D2750D"/>
    <w:rsid w:val="756E3F1F"/>
    <w:rsid w:val="76071F21"/>
    <w:rsid w:val="7ED40784"/>
    <w:rsid w:val="7F105C3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2018-10-31T21:31:38Z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