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A55A" w14:textId="77777777" w:rsidR="00B37AD9" w:rsidRPr="004B76E3" w:rsidRDefault="00B37AD9" w:rsidP="00BC6550">
      <w:pPr>
        <w:rPr>
          <w:rFonts w:ascii="Tahoma" w:hAnsi="Tahoma" w:cs="Tahoma"/>
          <w:sz w:val="22"/>
          <w:szCs w:val="22"/>
          <w:lang w:val="es-CO"/>
        </w:rPr>
      </w:pPr>
    </w:p>
    <w:tbl>
      <w:tblPr>
        <w:tblStyle w:val="Tablaconcuadrcula"/>
        <w:tblW w:w="0" w:type="auto"/>
        <w:tblLook w:val="04A0" w:firstRow="1" w:lastRow="0" w:firstColumn="1" w:lastColumn="0" w:noHBand="0" w:noVBand="1"/>
      </w:tblPr>
      <w:tblGrid>
        <w:gridCol w:w="2436"/>
        <w:gridCol w:w="2457"/>
        <w:gridCol w:w="2201"/>
        <w:gridCol w:w="1960"/>
      </w:tblGrid>
      <w:tr w:rsidR="00F2595C" w:rsidRPr="004B76E3" w14:paraId="261D253A" w14:textId="77777777" w:rsidTr="00B77069">
        <w:trPr>
          <w:trHeight w:val="435"/>
        </w:trPr>
        <w:tc>
          <w:tcPr>
            <w:tcW w:w="9054" w:type="dxa"/>
            <w:gridSpan w:val="4"/>
            <w:shd w:val="clear" w:color="auto" w:fill="D9D9D9" w:themeFill="background1" w:themeFillShade="D9"/>
            <w:noWrap/>
            <w:vAlign w:val="center"/>
            <w:hideMark/>
          </w:tcPr>
          <w:p w14:paraId="7397EAF1" w14:textId="77777777" w:rsidR="00F2595C" w:rsidRPr="004B76E3" w:rsidRDefault="00F2595C" w:rsidP="00E72BCF">
            <w:pPr>
              <w:jc w:val="center"/>
              <w:rPr>
                <w:rFonts w:ascii="Tahoma" w:hAnsi="Tahoma" w:cs="Tahoma"/>
                <w:b/>
                <w:bCs/>
                <w:sz w:val="22"/>
                <w:szCs w:val="22"/>
              </w:rPr>
            </w:pPr>
            <w:r w:rsidRPr="004B76E3">
              <w:rPr>
                <w:rFonts w:ascii="Tahoma" w:hAnsi="Tahoma" w:cs="Tahoma"/>
                <w:b/>
                <w:bCs/>
                <w:sz w:val="22"/>
                <w:szCs w:val="22"/>
              </w:rPr>
              <w:t>1. INFORMACIÓN GENERAL</w:t>
            </w:r>
          </w:p>
        </w:tc>
      </w:tr>
      <w:tr w:rsidR="00F2595C" w:rsidRPr="004B76E3" w14:paraId="7E63812B" w14:textId="77777777" w:rsidTr="00B77069">
        <w:trPr>
          <w:trHeight w:val="345"/>
        </w:trPr>
        <w:tc>
          <w:tcPr>
            <w:tcW w:w="2436" w:type="dxa"/>
            <w:vAlign w:val="center"/>
            <w:hideMark/>
          </w:tcPr>
          <w:p w14:paraId="4729D758"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Nombre de la Entidad</w:t>
            </w:r>
          </w:p>
        </w:tc>
        <w:tc>
          <w:tcPr>
            <w:tcW w:w="6618" w:type="dxa"/>
            <w:gridSpan w:val="3"/>
            <w:noWrap/>
            <w:vAlign w:val="center"/>
            <w:hideMark/>
          </w:tcPr>
          <w:p w14:paraId="2B372A6E"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ALCALDÍA DE MANIZALES</w:t>
            </w:r>
          </w:p>
        </w:tc>
      </w:tr>
      <w:tr w:rsidR="00F2595C" w:rsidRPr="004B76E3" w14:paraId="72A7BD5E" w14:textId="77777777" w:rsidTr="00E72BCF">
        <w:trPr>
          <w:trHeight w:val="416"/>
        </w:trPr>
        <w:tc>
          <w:tcPr>
            <w:tcW w:w="2436" w:type="dxa"/>
            <w:vAlign w:val="center"/>
            <w:hideMark/>
          </w:tcPr>
          <w:p w14:paraId="4A5F4C33"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Secretario / Director</w:t>
            </w:r>
          </w:p>
        </w:tc>
        <w:tc>
          <w:tcPr>
            <w:tcW w:w="6618" w:type="dxa"/>
            <w:gridSpan w:val="3"/>
            <w:noWrap/>
            <w:vAlign w:val="center"/>
            <w:hideMark/>
          </w:tcPr>
          <w:p w14:paraId="759F72BC" w14:textId="3F3677F5" w:rsidR="00B77069" w:rsidRDefault="00B77069" w:rsidP="00F81549">
            <w:pPr>
              <w:rPr>
                <w:rFonts w:ascii="Tahoma" w:hAnsi="Tahoma" w:cs="Tahoma"/>
                <w:b/>
                <w:bCs/>
                <w:sz w:val="22"/>
                <w:szCs w:val="22"/>
              </w:rPr>
            </w:pPr>
            <w:r>
              <w:rPr>
                <w:rFonts w:ascii="Tahoma" w:hAnsi="Tahoma" w:cs="Tahoma"/>
                <w:b/>
                <w:bCs/>
                <w:sz w:val="22"/>
                <w:szCs w:val="22"/>
              </w:rPr>
              <w:t xml:space="preserve">GUILLERMO HERNÁNDEZ GUTIÉRREZ </w:t>
            </w:r>
          </w:p>
          <w:p w14:paraId="6A773FA9" w14:textId="01018B90" w:rsidR="00F2595C" w:rsidRPr="00B77069" w:rsidRDefault="00F81549" w:rsidP="00F81549">
            <w:pPr>
              <w:rPr>
                <w:rFonts w:ascii="Tahoma" w:hAnsi="Tahoma" w:cs="Tahoma"/>
                <w:bCs/>
                <w:sz w:val="22"/>
                <w:szCs w:val="22"/>
              </w:rPr>
            </w:pPr>
            <w:r w:rsidRPr="00B77069">
              <w:rPr>
                <w:rFonts w:ascii="Tahoma" w:hAnsi="Tahoma" w:cs="Tahoma"/>
                <w:bCs/>
                <w:sz w:val="22"/>
                <w:szCs w:val="22"/>
              </w:rPr>
              <w:t xml:space="preserve">Secretario </w:t>
            </w:r>
            <w:r w:rsidR="00B77069" w:rsidRPr="00B77069">
              <w:rPr>
                <w:rFonts w:ascii="Tahoma" w:hAnsi="Tahoma" w:cs="Tahoma"/>
                <w:bCs/>
                <w:sz w:val="22"/>
                <w:szCs w:val="22"/>
              </w:rPr>
              <w:t xml:space="preserve">de Despacho Secretaría </w:t>
            </w:r>
            <w:r w:rsidRPr="00B77069">
              <w:rPr>
                <w:rFonts w:ascii="Tahoma" w:hAnsi="Tahoma" w:cs="Tahoma"/>
                <w:bCs/>
                <w:sz w:val="22"/>
                <w:szCs w:val="22"/>
              </w:rPr>
              <w:t>de Servicios Administrativos.</w:t>
            </w:r>
          </w:p>
          <w:p w14:paraId="3109E3E4" w14:textId="02257FB0" w:rsidR="00B77069" w:rsidRDefault="00B77069" w:rsidP="00F81549">
            <w:pPr>
              <w:rPr>
                <w:rFonts w:ascii="Tahoma" w:hAnsi="Tahoma" w:cs="Tahoma"/>
                <w:b/>
                <w:bCs/>
                <w:sz w:val="22"/>
                <w:szCs w:val="22"/>
              </w:rPr>
            </w:pPr>
            <w:r>
              <w:rPr>
                <w:rFonts w:ascii="Tahoma" w:hAnsi="Tahoma" w:cs="Tahoma"/>
                <w:b/>
                <w:bCs/>
                <w:sz w:val="22"/>
                <w:szCs w:val="22"/>
              </w:rPr>
              <w:t xml:space="preserve">GUSTAVO ADOLFO VÉLEZ GUTIÉRREZ </w:t>
            </w:r>
          </w:p>
          <w:p w14:paraId="2E0EBFB2" w14:textId="637865AD" w:rsidR="00F81549" w:rsidRPr="00B77069" w:rsidRDefault="00F81549" w:rsidP="00F81549">
            <w:pPr>
              <w:rPr>
                <w:rFonts w:ascii="Tahoma" w:hAnsi="Tahoma" w:cs="Tahoma"/>
                <w:bCs/>
                <w:sz w:val="22"/>
                <w:szCs w:val="22"/>
              </w:rPr>
            </w:pPr>
            <w:r w:rsidRPr="00B77069">
              <w:rPr>
                <w:rFonts w:ascii="Tahoma" w:hAnsi="Tahoma" w:cs="Tahoma"/>
                <w:bCs/>
                <w:sz w:val="22"/>
                <w:szCs w:val="22"/>
              </w:rPr>
              <w:t>Secretario</w:t>
            </w:r>
            <w:r w:rsidR="00B77069" w:rsidRPr="00B77069">
              <w:rPr>
                <w:rFonts w:ascii="Tahoma" w:hAnsi="Tahoma" w:cs="Tahoma"/>
                <w:bCs/>
                <w:sz w:val="22"/>
                <w:szCs w:val="22"/>
              </w:rPr>
              <w:t xml:space="preserve"> de Despacho Secretaría </w:t>
            </w:r>
            <w:r w:rsidRPr="00B77069">
              <w:rPr>
                <w:rFonts w:ascii="Tahoma" w:hAnsi="Tahoma" w:cs="Tahoma"/>
                <w:bCs/>
                <w:sz w:val="22"/>
                <w:szCs w:val="22"/>
              </w:rPr>
              <w:t>de Planeación.</w:t>
            </w:r>
          </w:p>
          <w:p w14:paraId="5219BA5D" w14:textId="65FDA843" w:rsidR="00B77069" w:rsidRDefault="00B77069" w:rsidP="00B77069">
            <w:pPr>
              <w:rPr>
                <w:rFonts w:ascii="Tahoma" w:hAnsi="Tahoma" w:cs="Tahoma"/>
                <w:b/>
                <w:bCs/>
                <w:sz w:val="22"/>
                <w:szCs w:val="22"/>
              </w:rPr>
            </w:pPr>
            <w:r>
              <w:rPr>
                <w:rFonts w:ascii="Tahoma" w:hAnsi="Tahoma" w:cs="Tahoma"/>
                <w:b/>
                <w:bCs/>
                <w:sz w:val="22"/>
                <w:szCs w:val="22"/>
              </w:rPr>
              <w:t xml:space="preserve">JHON FREDY FRANCO GIRALDO </w:t>
            </w:r>
          </w:p>
          <w:p w14:paraId="44FB2ADA" w14:textId="177CC06A" w:rsidR="00F81549" w:rsidRPr="00B77069" w:rsidRDefault="00B77069" w:rsidP="00B77069">
            <w:pPr>
              <w:rPr>
                <w:rFonts w:ascii="Tahoma" w:hAnsi="Tahoma" w:cs="Tahoma"/>
                <w:bCs/>
                <w:sz w:val="22"/>
                <w:szCs w:val="22"/>
              </w:rPr>
            </w:pPr>
            <w:r>
              <w:rPr>
                <w:rFonts w:ascii="Tahoma" w:hAnsi="Tahoma" w:cs="Tahoma"/>
                <w:bCs/>
                <w:sz w:val="22"/>
                <w:szCs w:val="22"/>
              </w:rPr>
              <w:t xml:space="preserve">Líder </w:t>
            </w:r>
            <w:r w:rsidR="00F81549" w:rsidRPr="00B77069">
              <w:rPr>
                <w:rFonts w:ascii="Tahoma" w:hAnsi="Tahoma" w:cs="Tahoma"/>
                <w:bCs/>
                <w:sz w:val="22"/>
                <w:szCs w:val="22"/>
              </w:rPr>
              <w:t>Unidad de</w:t>
            </w:r>
            <w:r w:rsidRPr="00B77069">
              <w:rPr>
                <w:rFonts w:ascii="Tahoma" w:hAnsi="Tahoma" w:cs="Tahoma"/>
                <w:bCs/>
                <w:sz w:val="22"/>
                <w:szCs w:val="22"/>
              </w:rPr>
              <w:t xml:space="preserve"> Divulgación y</w:t>
            </w:r>
            <w:r w:rsidR="00F81549" w:rsidRPr="00B77069">
              <w:rPr>
                <w:rFonts w:ascii="Tahoma" w:hAnsi="Tahoma" w:cs="Tahoma"/>
                <w:bCs/>
                <w:sz w:val="22"/>
                <w:szCs w:val="22"/>
              </w:rPr>
              <w:t xml:space="preserve"> Prensa</w:t>
            </w:r>
          </w:p>
        </w:tc>
      </w:tr>
      <w:tr w:rsidR="00F2595C" w:rsidRPr="004B76E3" w14:paraId="51BC6DAF" w14:textId="77777777" w:rsidTr="00E72BCF">
        <w:trPr>
          <w:trHeight w:val="499"/>
        </w:trPr>
        <w:tc>
          <w:tcPr>
            <w:tcW w:w="2436" w:type="dxa"/>
            <w:noWrap/>
            <w:vAlign w:val="center"/>
            <w:hideMark/>
          </w:tcPr>
          <w:p w14:paraId="2818A6A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Ejecución de la Auditoría</w:t>
            </w:r>
          </w:p>
        </w:tc>
        <w:tc>
          <w:tcPr>
            <w:tcW w:w="2457" w:type="dxa"/>
            <w:noWrap/>
            <w:vAlign w:val="center"/>
            <w:hideMark/>
          </w:tcPr>
          <w:p w14:paraId="54BD1C1E" w14:textId="7270F4CF" w:rsidR="00F2595C" w:rsidRPr="004B76E3" w:rsidRDefault="00327508" w:rsidP="00E72BCF">
            <w:pPr>
              <w:rPr>
                <w:rFonts w:ascii="Tahoma" w:hAnsi="Tahoma" w:cs="Tahoma"/>
                <w:bCs/>
                <w:sz w:val="22"/>
                <w:szCs w:val="22"/>
              </w:rPr>
            </w:pPr>
            <w:r>
              <w:rPr>
                <w:rFonts w:ascii="Tahoma" w:hAnsi="Tahoma" w:cs="Tahoma"/>
                <w:bCs/>
                <w:sz w:val="22"/>
                <w:szCs w:val="22"/>
              </w:rPr>
              <w:t>Del 4 al 10 de mayo de 2016</w:t>
            </w:r>
          </w:p>
        </w:tc>
        <w:tc>
          <w:tcPr>
            <w:tcW w:w="2201" w:type="dxa"/>
            <w:noWrap/>
            <w:vAlign w:val="center"/>
            <w:hideMark/>
          </w:tcPr>
          <w:p w14:paraId="75EC9C7D" w14:textId="0E9E4CFB" w:rsidR="00F2595C" w:rsidRPr="004B76E3" w:rsidRDefault="00F2595C" w:rsidP="00E72BCF">
            <w:pPr>
              <w:rPr>
                <w:rFonts w:ascii="Tahoma" w:hAnsi="Tahoma" w:cs="Tahoma"/>
                <w:b/>
                <w:bCs/>
                <w:sz w:val="22"/>
                <w:szCs w:val="22"/>
              </w:rPr>
            </w:pPr>
            <w:r w:rsidRPr="004B76E3">
              <w:rPr>
                <w:rFonts w:ascii="Tahoma" w:hAnsi="Tahoma" w:cs="Tahoma"/>
                <w:b/>
                <w:bCs/>
                <w:sz w:val="22"/>
                <w:szCs w:val="22"/>
              </w:rPr>
              <w:t>Fe</w:t>
            </w:r>
            <w:r w:rsidR="00693511">
              <w:rPr>
                <w:rFonts w:ascii="Tahoma" w:hAnsi="Tahoma" w:cs="Tahoma"/>
                <w:b/>
                <w:bCs/>
                <w:sz w:val="22"/>
                <w:szCs w:val="22"/>
              </w:rPr>
              <w:t>cha de entrega del informe Preliminar</w:t>
            </w:r>
          </w:p>
        </w:tc>
        <w:tc>
          <w:tcPr>
            <w:tcW w:w="1960" w:type="dxa"/>
            <w:noWrap/>
            <w:vAlign w:val="center"/>
            <w:hideMark/>
          </w:tcPr>
          <w:p w14:paraId="113C4F57" w14:textId="49410879" w:rsidR="00F2595C" w:rsidRPr="004B76E3" w:rsidRDefault="00693511" w:rsidP="00E72BCF">
            <w:pPr>
              <w:rPr>
                <w:rFonts w:ascii="Tahoma" w:hAnsi="Tahoma" w:cs="Tahoma"/>
                <w:bCs/>
                <w:sz w:val="22"/>
                <w:szCs w:val="22"/>
              </w:rPr>
            </w:pPr>
            <w:r>
              <w:rPr>
                <w:rFonts w:ascii="Tahoma" w:hAnsi="Tahoma" w:cs="Tahoma"/>
                <w:bCs/>
                <w:sz w:val="22"/>
                <w:szCs w:val="22"/>
              </w:rPr>
              <w:t>11 de mayo 2016</w:t>
            </w:r>
          </w:p>
        </w:tc>
      </w:tr>
      <w:tr w:rsidR="00693511" w:rsidRPr="004B76E3" w14:paraId="44DC0F3A" w14:textId="77777777" w:rsidTr="00E72BCF">
        <w:trPr>
          <w:trHeight w:val="499"/>
        </w:trPr>
        <w:tc>
          <w:tcPr>
            <w:tcW w:w="2436" w:type="dxa"/>
            <w:noWrap/>
            <w:vAlign w:val="center"/>
          </w:tcPr>
          <w:p w14:paraId="6620AD88" w14:textId="0FF04067" w:rsidR="00693511" w:rsidRPr="004B76E3" w:rsidRDefault="00693511" w:rsidP="00E72BCF">
            <w:pPr>
              <w:rPr>
                <w:rFonts w:ascii="Tahoma" w:hAnsi="Tahoma" w:cs="Tahoma"/>
                <w:b/>
                <w:bCs/>
                <w:sz w:val="22"/>
                <w:szCs w:val="22"/>
              </w:rPr>
            </w:pPr>
            <w:r>
              <w:rPr>
                <w:rFonts w:ascii="Tahoma" w:hAnsi="Tahoma" w:cs="Tahoma"/>
                <w:b/>
                <w:bCs/>
                <w:sz w:val="22"/>
                <w:szCs w:val="22"/>
              </w:rPr>
              <w:t>Término para interponer objeciones</w:t>
            </w:r>
          </w:p>
        </w:tc>
        <w:tc>
          <w:tcPr>
            <w:tcW w:w="2457" w:type="dxa"/>
            <w:noWrap/>
            <w:vAlign w:val="center"/>
          </w:tcPr>
          <w:p w14:paraId="0EAE3A16" w14:textId="565AE146" w:rsidR="00693511" w:rsidRDefault="00693511" w:rsidP="00E72BCF">
            <w:pPr>
              <w:rPr>
                <w:rFonts w:ascii="Tahoma" w:hAnsi="Tahoma" w:cs="Tahoma"/>
                <w:bCs/>
                <w:sz w:val="22"/>
                <w:szCs w:val="22"/>
              </w:rPr>
            </w:pPr>
            <w:r>
              <w:rPr>
                <w:rFonts w:ascii="Tahoma" w:hAnsi="Tahoma" w:cs="Tahoma"/>
                <w:bCs/>
                <w:sz w:val="22"/>
                <w:szCs w:val="22"/>
              </w:rPr>
              <w:t>Del 12 al 18 de mayo</w:t>
            </w:r>
            <w:r w:rsidR="00A74402">
              <w:rPr>
                <w:rFonts w:ascii="Tahoma" w:hAnsi="Tahoma" w:cs="Tahoma"/>
                <w:bCs/>
                <w:sz w:val="22"/>
                <w:szCs w:val="22"/>
              </w:rPr>
              <w:t xml:space="preserve"> de 2016</w:t>
            </w:r>
          </w:p>
        </w:tc>
        <w:tc>
          <w:tcPr>
            <w:tcW w:w="2201" w:type="dxa"/>
            <w:noWrap/>
            <w:vAlign w:val="center"/>
          </w:tcPr>
          <w:p w14:paraId="4CF72540" w14:textId="118B6603" w:rsidR="00693511" w:rsidRPr="004B76E3" w:rsidRDefault="00693511" w:rsidP="00E72BCF">
            <w:pPr>
              <w:rPr>
                <w:rFonts w:ascii="Tahoma" w:hAnsi="Tahoma" w:cs="Tahoma"/>
                <w:b/>
                <w:bCs/>
                <w:sz w:val="22"/>
                <w:szCs w:val="22"/>
              </w:rPr>
            </w:pPr>
            <w:r>
              <w:rPr>
                <w:rFonts w:ascii="Tahoma" w:hAnsi="Tahoma" w:cs="Tahoma"/>
                <w:b/>
                <w:bCs/>
                <w:sz w:val="22"/>
                <w:szCs w:val="22"/>
              </w:rPr>
              <w:t>Fecha de entrega del Informe final</w:t>
            </w:r>
          </w:p>
        </w:tc>
        <w:tc>
          <w:tcPr>
            <w:tcW w:w="1960" w:type="dxa"/>
            <w:noWrap/>
            <w:vAlign w:val="center"/>
          </w:tcPr>
          <w:p w14:paraId="405CD820" w14:textId="2E69D8FD" w:rsidR="00693511" w:rsidRPr="004B76E3" w:rsidRDefault="00D22522" w:rsidP="00E679EE">
            <w:pPr>
              <w:rPr>
                <w:rFonts w:ascii="Tahoma" w:hAnsi="Tahoma" w:cs="Tahoma"/>
                <w:bCs/>
                <w:sz w:val="22"/>
                <w:szCs w:val="22"/>
              </w:rPr>
            </w:pPr>
            <w:r>
              <w:rPr>
                <w:rFonts w:ascii="Tahoma" w:hAnsi="Tahoma" w:cs="Tahoma"/>
                <w:bCs/>
                <w:sz w:val="22"/>
                <w:szCs w:val="22"/>
              </w:rPr>
              <w:t>2</w:t>
            </w:r>
            <w:r w:rsidR="00E679EE">
              <w:rPr>
                <w:rFonts w:ascii="Tahoma" w:hAnsi="Tahoma" w:cs="Tahoma"/>
                <w:bCs/>
                <w:sz w:val="22"/>
                <w:szCs w:val="22"/>
              </w:rPr>
              <w:t>0</w:t>
            </w:r>
            <w:r w:rsidR="00693511">
              <w:rPr>
                <w:rFonts w:ascii="Tahoma" w:hAnsi="Tahoma" w:cs="Tahoma"/>
                <w:bCs/>
                <w:sz w:val="22"/>
                <w:szCs w:val="22"/>
              </w:rPr>
              <w:t xml:space="preserve"> de mayo</w:t>
            </w:r>
            <w:r w:rsidR="00A74402">
              <w:rPr>
                <w:rFonts w:ascii="Tahoma" w:hAnsi="Tahoma" w:cs="Tahoma"/>
                <w:bCs/>
                <w:sz w:val="22"/>
                <w:szCs w:val="22"/>
              </w:rPr>
              <w:t xml:space="preserve"> de 2016</w:t>
            </w:r>
          </w:p>
        </w:tc>
      </w:tr>
      <w:tr w:rsidR="00F2595C" w:rsidRPr="004B76E3" w14:paraId="3A863C97" w14:textId="77777777" w:rsidTr="00E72BCF">
        <w:trPr>
          <w:trHeight w:val="960"/>
        </w:trPr>
        <w:tc>
          <w:tcPr>
            <w:tcW w:w="2436" w:type="dxa"/>
            <w:vAlign w:val="center"/>
            <w:hideMark/>
          </w:tcPr>
          <w:p w14:paraId="44C8AB7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Objetivo de la Auditoria:</w:t>
            </w:r>
          </w:p>
        </w:tc>
        <w:tc>
          <w:tcPr>
            <w:tcW w:w="6618" w:type="dxa"/>
            <w:gridSpan w:val="3"/>
            <w:hideMark/>
          </w:tcPr>
          <w:p w14:paraId="569C055A" w14:textId="295DF191" w:rsidR="00F2595C" w:rsidRPr="004B76E3" w:rsidRDefault="00D71EC4" w:rsidP="00C13A0A">
            <w:pPr>
              <w:pStyle w:val="Sinespaciado"/>
              <w:jc w:val="both"/>
              <w:rPr>
                <w:rFonts w:ascii="Tahoma" w:hAnsi="Tahoma" w:cs="Tahoma"/>
              </w:rPr>
            </w:pPr>
            <w:r w:rsidRPr="00D71EC4">
              <w:rPr>
                <w:rFonts w:ascii="Tahoma" w:hAnsi="Tahoma" w:cs="Tahoma"/>
              </w:rPr>
              <w:t xml:space="preserve">Verificar el cumplimiento </w:t>
            </w:r>
            <w:r w:rsidR="0055123B">
              <w:rPr>
                <w:rFonts w:ascii="Tahoma" w:hAnsi="Tahoma" w:cs="Tahoma"/>
              </w:rPr>
              <w:t xml:space="preserve">del </w:t>
            </w:r>
            <w:r w:rsidR="00E3033A">
              <w:rPr>
                <w:rFonts w:ascii="Tahoma" w:hAnsi="Tahoma" w:cs="Tahoma"/>
              </w:rPr>
              <w:t>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sidR="00602CE9">
              <w:rPr>
                <w:rFonts w:ascii="Tahoma" w:hAnsi="Tahoma" w:cs="Tahoma"/>
              </w:rPr>
              <w:t>”</w:t>
            </w:r>
            <w:r w:rsidR="0055123B">
              <w:rPr>
                <w:rFonts w:ascii="Tahoma" w:hAnsi="Tahoma" w:cs="Tahoma"/>
              </w:rPr>
              <w:t xml:space="preserve">, de acuerdo con los lineamientos del </w:t>
            </w:r>
            <w:r w:rsidRPr="00D71EC4">
              <w:rPr>
                <w:rFonts w:ascii="Tahoma" w:hAnsi="Tahoma" w:cs="Tahoma"/>
              </w:rPr>
              <w:t>artículo 73 de la Ley 1474 de 2011</w:t>
            </w:r>
            <w:r w:rsidR="00C13A0A">
              <w:rPr>
                <w:rFonts w:ascii="Tahoma" w:hAnsi="Tahoma" w:cs="Tahoma"/>
              </w:rPr>
              <w:t xml:space="preserve"> y la Guía “Estrategias para la construcción del</w:t>
            </w:r>
            <w:r w:rsidRPr="00D71EC4">
              <w:rPr>
                <w:rFonts w:ascii="Tahoma" w:hAnsi="Tahoma" w:cs="Tahoma"/>
              </w:rPr>
              <w:t xml:space="preserve"> Plan Anticorrupción y de Atención al Ciudadano</w:t>
            </w:r>
            <w:r w:rsidR="009C3B29">
              <w:rPr>
                <w:rFonts w:ascii="Tahoma" w:hAnsi="Tahoma" w:cs="Tahoma"/>
              </w:rPr>
              <w:t xml:space="preserve"> </w:t>
            </w:r>
            <w:r w:rsidR="00C13A0A">
              <w:rPr>
                <w:rFonts w:ascii="Tahoma" w:hAnsi="Tahoma" w:cs="Tahoma"/>
              </w:rPr>
              <w:t>Versión 2”.</w:t>
            </w:r>
          </w:p>
        </w:tc>
      </w:tr>
      <w:tr w:rsidR="00F2595C" w:rsidRPr="004B76E3" w14:paraId="6A5E1240" w14:textId="77777777" w:rsidTr="00CB51F4">
        <w:trPr>
          <w:trHeight w:val="1240"/>
        </w:trPr>
        <w:tc>
          <w:tcPr>
            <w:tcW w:w="2436" w:type="dxa"/>
            <w:vAlign w:val="center"/>
            <w:hideMark/>
          </w:tcPr>
          <w:p w14:paraId="4ACF401A"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Alcance de la Auditoria:</w:t>
            </w:r>
          </w:p>
        </w:tc>
        <w:tc>
          <w:tcPr>
            <w:tcW w:w="6618" w:type="dxa"/>
            <w:gridSpan w:val="3"/>
          </w:tcPr>
          <w:p w14:paraId="6BF120B0" w14:textId="72B9820F" w:rsidR="00A74402" w:rsidRDefault="005F35F1" w:rsidP="005F35F1">
            <w:pPr>
              <w:jc w:val="both"/>
              <w:rPr>
                <w:rFonts w:ascii="Tahoma" w:hAnsi="Tahoma" w:cs="Tahoma"/>
                <w:sz w:val="22"/>
                <w:szCs w:val="22"/>
                <w:lang w:val="es-CO"/>
              </w:rPr>
            </w:pPr>
            <w:r>
              <w:rPr>
                <w:rFonts w:ascii="Tahoma" w:hAnsi="Tahoma" w:cs="Tahoma"/>
                <w:sz w:val="22"/>
                <w:szCs w:val="22"/>
                <w:lang w:val="es-CO"/>
              </w:rPr>
              <w:t>Re</w:t>
            </w:r>
            <w:r w:rsidR="00687A8A">
              <w:rPr>
                <w:rFonts w:ascii="Tahoma" w:hAnsi="Tahoma" w:cs="Tahoma"/>
                <w:sz w:val="22"/>
                <w:szCs w:val="22"/>
                <w:lang w:val="es-CO"/>
              </w:rPr>
              <w:t>visión de</w:t>
            </w:r>
            <w:r w:rsidR="00E8350F">
              <w:rPr>
                <w:rFonts w:ascii="Tahoma" w:hAnsi="Tahoma" w:cs="Tahoma"/>
                <w:sz w:val="22"/>
                <w:szCs w:val="22"/>
                <w:lang w:val="es-CO"/>
              </w:rPr>
              <w:t xml:space="preserve"> </w:t>
            </w:r>
            <w:r w:rsidR="00A03ED5">
              <w:rPr>
                <w:rFonts w:ascii="Tahoma" w:hAnsi="Tahoma" w:cs="Tahoma"/>
                <w:sz w:val="22"/>
                <w:szCs w:val="22"/>
                <w:lang w:val="es-CO"/>
              </w:rPr>
              <w:t>las acciones preliminares</w:t>
            </w:r>
            <w:r w:rsidR="00A74402">
              <w:rPr>
                <w:rFonts w:ascii="Tahoma" w:hAnsi="Tahoma" w:cs="Tahoma"/>
                <w:sz w:val="22"/>
                <w:szCs w:val="22"/>
                <w:lang w:val="es-CO"/>
              </w:rPr>
              <w:t xml:space="preserve"> desarrolladas entre enero y marzo de 2016,</w:t>
            </w:r>
            <w:r w:rsidR="00A03ED5">
              <w:rPr>
                <w:rFonts w:ascii="Tahoma" w:hAnsi="Tahoma" w:cs="Tahoma"/>
                <w:sz w:val="22"/>
                <w:szCs w:val="22"/>
                <w:lang w:val="es-CO"/>
              </w:rPr>
              <w:t xml:space="preserve"> para la construcción del Plan Anticorrupción y de Atención al Ciudadano</w:t>
            </w:r>
            <w:r w:rsidR="00A74402">
              <w:rPr>
                <w:rFonts w:ascii="Tahoma" w:hAnsi="Tahoma" w:cs="Tahoma"/>
                <w:sz w:val="22"/>
                <w:szCs w:val="22"/>
                <w:lang w:val="es-CO"/>
              </w:rPr>
              <w:t xml:space="preserve"> bajo la coordinación de la Secretaría de Planeación.</w:t>
            </w:r>
          </w:p>
          <w:p w14:paraId="0BDAF7B8" w14:textId="1ECE7DB6" w:rsidR="00F2595C" w:rsidRPr="004B76E3" w:rsidRDefault="00A74402" w:rsidP="00A74402">
            <w:pPr>
              <w:jc w:val="both"/>
              <w:rPr>
                <w:rFonts w:ascii="Tahoma" w:hAnsi="Tahoma" w:cs="Tahoma"/>
                <w:sz w:val="22"/>
                <w:szCs w:val="22"/>
              </w:rPr>
            </w:pPr>
            <w:r>
              <w:rPr>
                <w:rFonts w:ascii="Tahoma" w:hAnsi="Tahoma" w:cs="Tahoma"/>
                <w:sz w:val="22"/>
                <w:szCs w:val="22"/>
                <w:lang w:val="es-CO"/>
              </w:rPr>
              <w:t>Seguimiento a los 6 cronogramas establecidos a los componentes d</w:t>
            </w:r>
            <w:r w:rsidR="003E358E">
              <w:rPr>
                <w:rFonts w:ascii="Tahoma" w:hAnsi="Tahoma" w:cs="Tahoma"/>
                <w:sz w:val="22"/>
                <w:szCs w:val="22"/>
                <w:lang w:val="es-CO"/>
              </w:rPr>
              <w:t>el Plan Anticorrupción</w:t>
            </w:r>
            <w:r>
              <w:rPr>
                <w:rFonts w:ascii="Tahoma" w:hAnsi="Tahoma" w:cs="Tahoma"/>
                <w:sz w:val="22"/>
                <w:szCs w:val="22"/>
                <w:lang w:val="es-CO"/>
              </w:rPr>
              <w:t xml:space="preserve"> 2016</w:t>
            </w:r>
            <w:r w:rsidR="003E358E">
              <w:rPr>
                <w:rFonts w:ascii="Tahoma" w:hAnsi="Tahoma" w:cs="Tahoma"/>
                <w:sz w:val="22"/>
                <w:szCs w:val="22"/>
                <w:lang w:val="es-CO"/>
              </w:rPr>
              <w:t>, correspondientes a</w:t>
            </w:r>
            <w:r w:rsidR="00A03ED5">
              <w:rPr>
                <w:rFonts w:ascii="Tahoma" w:hAnsi="Tahoma" w:cs="Tahoma"/>
                <w:sz w:val="22"/>
                <w:szCs w:val="22"/>
                <w:lang w:val="es-CO"/>
              </w:rPr>
              <w:t xml:space="preserve"> Gestión del Riesgo de Corrupción, Racionalización de Trámites, Rendición de Cuentas, Mecanismos para mejorar la </w:t>
            </w:r>
            <w:r w:rsidR="00652245">
              <w:rPr>
                <w:rFonts w:ascii="Tahoma" w:hAnsi="Tahoma" w:cs="Tahoma"/>
                <w:sz w:val="22"/>
                <w:szCs w:val="22"/>
                <w:lang w:val="es-CO"/>
              </w:rPr>
              <w:t>A</w:t>
            </w:r>
            <w:r w:rsidR="00A03ED5">
              <w:rPr>
                <w:rFonts w:ascii="Tahoma" w:hAnsi="Tahoma" w:cs="Tahoma"/>
                <w:sz w:val="22"/>
                <w:szCs w:val="22"/>
                <w:lang w:val="es-CO"/>
              </w:rPr>
              <w:t xml:space="preserve">tención al </w:t>
            </w:r>
            <w:r w:rsidR="00652245">
              <w:rPr>
                <w:rFonts w:ascii="Tahoma" w:hAnsi="Tahoma" w:cs="Tahoma"/>
                <w:sz w:val="22"/>
                <w:szCs w:val="22"/>
                <w:lang w:val="es-CO"/>
              </w:rPr>
              <w:t>C</w:t>
            </w:r>
            <w:r w:rsidR="00A03ED5">
              <w:rPr>
                <w:rFonts w:ascii="Tahoma" w:hAnsi="Tahoma" w:cs="Tahoma"/>
                <w:sz w:val="22"/>
                <w:szCs w:val="22"/>
                <w:lang w:val="es-CO"/>
              </w:rPr>
              <w:t>iudadano</w:t>
            </w:r>
            <w:r w:rsidR="005D15A9">
              <w:rPr>
                <w:rFonts w:ascii="Tahoma" w:hAnsi="Tahoma" w:cs="Tahoma"/>
                <w:sz w:val="22"/>
                <w:szCs w:val="22"/>
                <w:lang w:val="es-CO"/>
              </w:rPr>
              <w:t>, Mecanismos para la Transparencia y Acceso a la Información e Iniciativas Adicionales</w:t>
            </w:r>
            <w:r>
              <w:rPr>
                <w:rFonts w:ascii="Tahoma" w:hAnsi="Tahoma" w:cs="Tahoma"/>
                <w:sz w:val="22"/>
                <w:szCs w:val="22"/>
                <w:lang w:val="es-CO"/>
              </w:rPr>
              <w:t>, comprendido entre el 1 de abril y el 10 de marzo de 2016</w:t>
            </w:r>
            <w:r w:rsidR="005D15A9">
              <w:rPr>
                <w:rFonts w:ascii="Tahoma" w:hAnsi="Tahoma" w:cs="Tahoma"/>
                <w:sz w:val="22"/>
                <w:szCs w:val="22"/>
                <w:lang w:val="es-CO"/>
              </w:rPr>
              <w:t>.</w:t>
            </w:r>
          </w:p>
        </w:tc>
      </w:tr>
      <w:tr w:rsidR="00F2595C" w:rsidRPr="004B76E3" w14:paraId="33002007" w14:textId="77777777" w:rsidTr="00E72BCF">
        <w:trPr>
          <w:trHeight w:val="499"/>
        </w:trPr>
        <w:tc>
          <w:tcPr>
            <w:tcW w:w="2436" w:type="dxa"/>
            <w:vAlign w:val="center"/>
            <w:hideMark/>
          </w:tcPr>
          <w:p w14:paraId="35EF1B3C" w14:textId="2BE42F23" w:rsidR="00F2595C" w:rsidRPr="004B76E3" w:rsidRDefault="00F2595C" w:rsidP="00E72BCF">
            <w:pPr>
              <w:rPr>
                <w:rFonts w:ascii="Tahoma" w:hAnsi="Tahoma" w:cs="Tahoma"/>
                <w:b/>
                <w:bCs/>
                <w:sz w:val="22"/>
                <w:szCs w:val="22"/>
              </w:rPr>
            </w:pPr>
            <w:r w:rsidRPr="004B76E3">
              <w:rPr>
                <w:rFonts w:ascii="Tahoma" w:hAnsi="Tahoma" w:cs="Tahoma"/>
                <w:b/>
                <w:bCs/>
                <w:sz w:val="22"/>
                <w:szCs w:val="22"/>
              </w:rPr>
              <w:lastRenderedPageBreak/>
              <w:t>Jefe de la Unidad de Control Interno</w:t>
            </w:r>
          </w:p>
        </w:tc>
        <w:tc>
          <w:tcPr>
            <w:tcW w:w="6618" w:type="dxa"/>
            <w:gridSpan w:val="3"/>
            <w:noWrap/>
            <w:vAlign w:val="center"/>
            <w:hideMark/>
          </w:tcPr>
          <w:p w14:paraId="30F49B8C" w14:textId="77777777" w:rsidR="00F2595C" w:rsidRPr="004B76E3" w:rsidRDefault="00F2595C" w:rsidP="00E72BCF">
            <w:pPr>
              <w:rPr>
                <w:rFonts w:ascii="Tahoma" w:hAnsi="Tahoma" w:cs="Tahoma"/>
                <w:bCs/>
                <w:sz w:val="22"/>
                <w:szCs w:val="22"/>
              </w:rPr>
            </w:pPr>
            <w:r w:rsidRPr="004B76E3">
              <w:rPr>
                <w:rFonts w:ascii="Tahoma" w:hAnsi="Tahoma" w:cs="Tahoma"/>
                <w:bCs/>
                <w:sz w:val="22"/>
                <w:szCs w:val="22"/>
              </w:rPr>
              <w:t>ANDREA RESTREPO LARGO</w:t>
            </w:r>
          </w:p>
        </w:tc>
      </w:tr>
      <w:tr w:rsidR="00A74402" w:rsidRPr="004B76E3" w14:paraId="1FFF6C2A" w14:textId="77777777" w:rsidTr="00E72BCF">
        <w:trPr>
          <w:trHeight w:val="499"/>
        </w:trPr>
        <w:tc>
          <w:tcPr>
            <w:tcW w:w="2436" w:type="dxa"/>
            <w:vMerge w:val="restart"/>
            <w:vAlign w:val="center"/>
            <w:hideMark/>
          </w:tcPr>
          <w:p w14:paraId="26D9820A" w14:textId="77777777" w:rsidR="00A74402" w:rsidRPr="004B76E3" w:rsidRDefault="00A74402" w:rsidP="00E72BCF">
            <w:pPr>
              <w:rPr>
                <w:rFonts w:ascii="Tahoma" w:hAnsi="Tahoma" w:cs="Tahoma"/>
                <w:b/>
                <w:bCs/>
                <w:sz w:val="22"/>
                <w:szCs w:val="22"/>
              </w:rPr>
            </w:pPr>
            <w:r w:rsidRPr="004B76E3">
              <w:rPr>
                <w:rFonts w:ascii="Tahoma" w:hAnsi="Tahoma" w:cs="Tahoma"/>
                <w:b/>
                <w:bCs/>
                <w:sz w:val="22"/>
                <w:szCs w:val="22"/>
              </w:rPr>
              <w:t>Auditores</w:t>
            </w:r>
          </w:p>
        </w:tc>
        <w:tc>
          <w:tcPr>
            <w:tcW w:w="6618" w:type="dxa"/>
            <w:gridSpan w:val="3"/>
            <w:noWrap/>
            <w:hideMark/>
          </w:tcPr>
          <w:p w14:paraId="015E76C7" w14:textId="49EEBA97" w:rsidR="00A74402" w:rsidRPr="004B76E3" w:rsidRDefault="00A74402" w:rsidP="009C1DC3">
            <w:pPr>
              <w:jc w:val="both"/>
              <w:rPr>
                <w:rFonts w:ascii="Tahoma" w:hAnsi="Tahoma" w:cs="Tahoma"/>
                <w:bCs/>
                <w:sz w:val="22"/>
                <w:szCs w:val="22"/>
              </w:rPr>
            </w:pPr>
            <w:r w:rsidRPr="00A74402">
              <w:rPr>
                <w:rFonts w:ascii="Tahoma" w:hAnsi="Tahoma" w:cs="Tahoma"/>
                <w:b/>
                <w:bCs/>
                <w:sz w:val="22"/>
                <w:szCs w:val="22"/>
              </w:rPr>
              <w:t>FRANCENETH RAMOS FLOREZ</w:t>
            </w:r>
            <w:r>
              <w:rPr>
                <w:rFonts w:ascii="Tahoma" w:hAnsi="Tahoma" w:cs="Tahoma"/>
                <w:bCs/>
                <w:sz w:val="22"/>
                <w:szCs w:val="22"/>
              </w:rPr>
              <w:t>, auditando los componentes de</w:t>
            </w:r>
            <w:r>
              <w:rPr>
                <w:rFonts w:ascii="Tahoma" w:hAnsi="Tahoma" w:cs="Tahoma"/>
                <w:sz w:val="22"/>
                <w:szCs w:val="22"/>
                <w:lang w:val="es-CO"/>
              </w:rPr>
              <w:t xml:space="preserve"> Rendición de Cuentas y Mecanismos para mejorar la Atención al Ciudadano.</w:t>
            </w:r>
          </w:p>
        </w:tc>
      </w:tr>
      <w:tr w:rsidR="00A74402" w:rsidRPr="004B76E3" w14:paraId="1831E316" w14:textId="77777777" w:rsidTr="00E72BCF">
        <w:trPr>
          <w:trHeight w:val="499"/>
        </w:trPr>
        <w:tc>
          <w:tcPr>
            <w:tcW w:w="2436" w:type="dxa"/>
            <w:vMerge/>
            <w:vAlign w:val="center"/>
          </w:tcPr>
          <w:p w14:paraId="682FF337" w14:textId="77777777" w:rsidR="00A74402" w:rsidRPr="004B76E3" w:rsidRDefault="00A74402" w:rsidP="00E72BCF">
            <w:pPr>
              <w:rPr>
                <w:rFonts w:ascii="Tahoma" w:hAnsi="Tahoma" w:cs="Tahoma"/>
                <w:b/>
                <w:bCs/>
                <w:sz w:val="22"/>
                <w:szCs w:val="22"/>
              </w:rPr>
            </w:pPr>
          </w:p>
        </w:tc>
        <w:tc>
          <w:tcPr>
            <w:tcW w:w="6618" w:type="dxa"/>
            <w:gridSpan w:val="3"/>
            <w:noWrap/>
          </w:tcPr>
          <w:p w14:paraId="129278D3" w14:textId="57CF6B5E" w:rsidR="00A74402" w:rsidRPr="00A74402" w:rsidRDefault="00A74402" w:rsidP="00A74402">
            <w:pPr>
              <w:jc w:val="both"/>
              <w:rPr>
                <w:rFonts w:ascii="Tahoma" w:hAnsi="Tahoma" w:cs="Tahoma"/>
                <w:b/>
                <w:bCs/>
                <w:sz w:val="22"/>
                <w:szCs w:val="22"/>
              </w:rPr>
            </w:pPr>
            <w:r w:rsidRPr="00A74402">
              <w:rPr>
                <w:rFonts w:ascii="Tahoma" w:hAnsi="Tahoma" w:cs="Tahoma"/>
                <w:b/>
                <w:bCs/>
                <w:sz w:val="22"/>
                <w:szCs w:val="22"/>
              </w:rPr>
              <w:t>Firma:</w:t>
            </w:r>
          </w:p>
        </w:tc>
      </w:tr>
      <w:tr w:rsidR="00A74402" w:rsidRPr="004B76E3" w14:paraId="50EB6B18" w14:textId="77777777" w:rsidTr="00E72BCF">
        <w:trPr>
          <w:trHeight w:val="499"/>
        </w:trPr>
        <w:tc>
          <w:tcPr>
            <w:tcW w:w="2436" w:type="dxa"/>
            <w:vMerge/>
            <w:vAlign w:val="center"/>
          </w:tcPr>
          <w:p w14:paraId="29040189" w14:textId="77777777" w:rsidR="00A74402" w:rsidRPr="004B76E3" w:rsidRDefault="00A74402" w:rsidP="00E72BCF">
            <w:pPr>
              <w:rPr>
                <w:rFonts w:ascii="Tahoma" w:hAnsi="Tahoma" w:cs="Tahoma"/>
                <w:b/>
                <w:bCs/>
                <w:sz w:val="22"/>
                <w:szCs w:val="22"/>
              </w:rPr>
            </w:pPr>
          </w:p>
        </w:tc>
        <w:tc>
          <w:tcPr>
            <w:tcW w:w="6618" w:type="dxa"/>
            <w:gridSpan w:val="3"/>
            <w:noWrap/>
          </w:tcPr>
          <w:p w14:paraId="19BBB3BF" w14:textId="3844F5DD" w:rsidR="00A74402" w:rsidRPr="004B76E3" w:rsidRDefault="00A74402" w:rsidP="00A74402">
            <w:pPr>
              <w:jc w:val="both"/>
              <w:rPr>
                <w:rFonts w:ascii="Tahoma" w:hAnsi="Tahoma" w:cs="Tahoma"/>
                <w:bCs/>
                <w:sz w:val="22"/>
                <w:szCs w:val="22"/>
              </w:rPr>
            </w:pPr>
            <w:r w:rsidRPr="00A74402">
              <w:rPr>
                <w:rFonts w:ascii="Tahoma" w:hAnsi="Tahoma" w:cs="Tahoma"/>
                <w:b/>
                <w:bCs/>
                <w:sz w:val="22"/>
                <w:szCs w:val="22"/>
              </w:rPr>
              <w:t>GLORIA ESPERANZA RESTREPO GARAY</w:t>
            </w:r>
            <w:r>
              <w:rPr>
                <w:rFonts w:ascii="Tahoma" w:hAnsi="Tahoma" w:cs="Tahoma"/>
                <w:bCs/>
                <w:sz w:val="22"/>
                <w:szCs w:val="22"/>
              </w:rPr>
              <w:t xml:space="preserve">, auditando los componentes de </w:t>
            </w:r>
            <w:r>
              <w:rPr>
                <w:rFonts w:ascii="Tahoma" w:hAnsi="Tahoma" w:cs="Tahoma"/>
                <w:sz w:val="22"/>
                <w:szCs w:val="22"/>
                <w:lang w:val="es-CO"/>
              </w:rPr>
              <w:t>Gestión del Riesgo de Corrupción, Racionalización de Trámites, Mecanismos para la Transparencia y Acceso a la Información, e Iniciativas Adicionales.</w:t>
            </w:r>
          </w:p>
        </w:tc>
      </w:tr>
      <w:tr w:rsidR="00A74402" w:rsidRPr="004B76E3" w14:paraId="59636059" w14:textId="77777777" w:rsidTr="00E72BCF">
        <w:trPr>
          <w:trHeight w:val="499"/>
        </w:trPr>
        <w:tc>
          <w:tcPr>
            <w:tcW w:w="2436" w:type="dxa"/>
            <w:vMerge/>
            <w:vAlign w:val="center"/>
          </w:tcPr>
          <w:p w14:paraId="1D3E2330" w14:textId="77777777" w:rsidR="00A74402" w:rsidRPr="004B76E3" w:rsidRDefault="00A74402" w:rsidP="00E72BCF">
            <w:pPr>
              <w:rPr>
                <w:rFonts w:ascii="Tahoma" w:hAnsi="Tahoma" w:cs="Tahoma"/>
                <w:b/>
                <w:bCs/>
                <w:sz w:val="22"/>
                <w:szCs w:val="22"/>
              </w:rPr>
            </w:pPr>
          </w:p>
        </w:tc>
        <w:tc>
          <w:tcPr>
            <w:tcW w:w="6618" w:type="dxa"/>
            <w:gridSpan w:val="3"/>
            <w:noWrap/>
          </w:tcPr>
          <w:p w14:paraId="73D8A5F3" w14:textId="4B56D7AE" w:rsidR="00A74402" w:rsidRPr="00A74402" w:rsidRDefault="00A74402" w:rsidP="00A74402">
            <w:pPr>
              <w:jc w:val="both"/>
              <w:rPr>
                <w:rFonts w:ascii="Tahoma" w:hAnsi="Tahoma" w:cs="Tahoma"/>
                <w:b/>
                <w:bCs/>
                <w:sz w:val="22"/>
                <w:szCs w:val="22"/>
              </w:rPr>
            </w:pPr>
            <w:r w:rsidRPr="00A74402">
              <w:rPr>
                <w:rFonts w:ascii="Tahoma" w:hAnsi="Tahoma" w:cs="Tahoma"/>
                <w:b/>
                <w:bCs/>
                <w:sz w:val="22"/>
                <w:szCs w:val="22"/>
              </w:rPr>
              <w:t>Firma:</w:t>
            </w:r>
          </w:p>
        </w:tc>
      </w:tr>
    </w:tbl>
    <w:p w14:paraId="12D4ED05" w14:textId="77777777" w:rsidR="00F334FA" w:rsidRDefault="00F334FA"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8978"/>
        <w:gridCol w:w="76"/>
      </w:tblGrid>
      <w:tr w:rsidR="00942170" w:rsidRPr="004B76E3" w14:paraId="60B43DF4" w14:textId="77777777" w:rsidTr="00B77069">
        <w:trPr>
          <w:gridAfter w:val="1"/>
          <w:wAfter w:w="76" w:type="dxa"/>
          <w:trHeight w:val="362"/>
        </w:trPr>
        <w:tc>
          <w:tcPr>
            <w:tcW w:w="8978" w:type="dxa"/>
            <w:shd w:val="clear" w:color="auto" w:fill="D9D9D9" w:themeFill="background1" w:themeFillShade="D9"/>
            <w:vAlign w:val="center"/>
          </w:tcPr>
          <w:p w14:paraId="1B67304A" w14:textId="18560049" w:rsidR="00942170" w:rsidRPr="004B76E3" w:rsidRDefault="00942170" w:rsidP="003D2336">
            <w:pPr>
              <w:jc w:val="center"/>
              <w:rPr>
                <w:rFonts w:ascii="Tahoma" w:hAnsi="Tahoma" w:cs="Tahoma"/>
                <w:b/>
                <w:sz w:val="22"/>
                <w:szCs w:val="22"/>
              </w:rPr>
            </w:pPr>
            <w:r w:rsidRPr="004B76E3">
              <w:rPr>
                <w:rFonts w:ascii="Tahoma" w:hAnsi="Tahoma" w:cs="Tahoma"/>
                <w:b/>
                <w:sz w:val="22"/>
                <w:szCs w:val="22"/>
              </w:rPr>
              <w:t xml:space="preserve">2. </w:t>
            </w:r>
            <w:r w:rsidR="003D2336">
              <w:rPr>
                <w:rFonts w:ascii="Tahoma" w:hAnsi="Tahoma" w:cs="Tahoma"/>
                <w:b/>
                <w:sz w:val="22"/>
                <w:szCs w:val="22"/>
              </w:rPr>
              <w:t>CRITERIOS</w:t>
            </w:r>
          </w:p>
        </w:tc>
      </w:tr>
      <w:tr w:rsidR="00AD74F0" w:rsidRPr="00880DA6" w14:paraId="2A7E161A" w14:textId="77777777" w:rsidTr="00D42338">
        <w:trPr>
          <w:trHeight w:val="660"/>
        </w:trPr>
        <w:tc>
          <w:tcPr>
            <w:tcW w:w="9054" w:type="dxa"/>
            <w:gridSpan w:val="2"/>
            <w:hideMark/>
          </w:tcPr>
          <w:p w14:paraId="0CE4397D" w14:textId="6C3C8DDC" w:rsidR="00764A10" w:rsidRPr="00880DA6" w:rsidRDefault="00075CAD" w:rsidP="00245F68">
            <w:pPr>
              <w:jc w:val="both"/>
              <w:rPr>
                <w:rFonts w:ascii="Tahoma" w:hAnsi="Tahoma" w:cs="Tahoma"/>
                <w:bCs/>
                <w:sz w:val="22"/>
                <w:szCs w:val="22"/>
              </w:rPr>
            </w:pPr>
            <w:r w:rsidRPr="00075CAD">
              <w:rPr>
                <w:rFonts w:ascii="Tahoma" w:hAnsi="Tahoma" w:cs="Tahoma"/>
                <w:bCs/>
                <w:sz w:val="22"/>
                <w:szCs w:val="22"/>
                <w:lang w:val="es-CO"/>
              </w:rPr>
              <w:t xml:space="preserve">Ley 87 de 1993, </w:t>
            </w:r>
            <w:r w:rsidR="00F91283">
              <w:rPr>
                <w:rFonts w:ascii="Tahoma" w:hAnsi="Tahoma" w:cs="Tahoma"/>
                <w:bCs/>
                <w:sz w:val="22"/>
                <w:szCs w:val="22"/>
                <w:lang w:val="es-CO"/>
              </w:rPr>
              <w:t xml:space="preserve">Decreto 943 de 2014, </w:t>
            </w:r>
            <w:r w:rsidRPr="00075CAD">
              <w:rPr>
                <w:rFonts w:ascii="Tahoma" w:hAnsi="Tahoma" w:cs="Tahoma"/>
                <w:bCs/>
                <w:sz w:val="22"/>
                <w:szCs w:val="22"/>
                <w:lang w:val="es-CO"/>
              </w:rPr>
              <w:t>Artículo 73 de la Ley 1474 de 2011, “Estatuto Anticorrupción”, Decreto 019 de 2012 – Ley Antitrámites, Decreto No. 2461 del 17 de diciembre de 2012</w:t>
            </w:r>
            <w:r w:rsidR="000F36D7">
              <w:rPr>
                <w:rFonts w:ascii="Tahoma" w:hAnsi="Tahoma" w:cs="Tahoma"/>
                <w:bCs/>
                <w:sz w:val="22"/>
                <w:szCs w:val="22"/>
                <w:lang w:val="es-CO"/>
              </w:rPr>
              <w:t xml:space="preserve"> </w:t>
            </w:r>
            <w:r w:rsidRPr="00075CAD">
              <w:rPr>
                <w:rFonts w:ascii="Tahoma" w:hAnsi="Tahoma" w:cs="Tahoma"/>
                <w:bCs/>
                <w:sz w:val="22"/>
                <w:szCs w:val="22"/>
                <w:lang w:val="es-CO"/>
              </w:rPr>
              <w:t xml:space="preserve">”Por el cual se reglamentan los artículos 73 y 76 de la Ley 1474 de 2011”, Decreto </w:t>
            </w:r>
            <w:r w:rsidR="000F36D7">
              <w:rPr>
                <w:rFonts w:ascii="Tahoma" w:hAnsi="Tahoma" w:cs="Tahoma"/>
                <w:bCs/>
                <w:sz w:val="22"/>
                <w:szCs w:val="22"/>
                <w:lang w:val="es-CO"/>
              </w:rPr>
              <w:t xml:space="preserve">0164 del 30 de marzo de 2016 </w:t>
            </w:r>
            <w:r w:rsidRPr="00075CAD">
              <w:rPr>
                <w:rFonts w:ascii="Tahoma" w:hAnsi="Tahoma" w:cs="Tahoma"/>
                <w:bCs/>
                <w:sz w:val="22"/>
                <w:szCs w:val="22"/>
                <w:lang w:val="es-CO"/>
              </w:rPr>
              <w:t>“</w:t>
            </w:r>
            <w:r w:rsidR="000F36D7">
              <w:rPr>
                <w:rFonts w:ascii="Tahoma" w:hAnsi="Tahoma" w:cs="Tahoma"/>
                <w:bCs/>
                <w:sz w:val="22"/>
                <w:szCs w:val="22"/>
                <w:lang w:val="es-CO"/>
              </w:rPr>
              <w:t>P</w:t>
            </w:r>
            <w:r w:rsidRPr="00075CAD">
              <w:rPr>
                <w:rFonts w:ascii="Tahoma" w:hAnsi="Tahoma" w:cs="Tahoma"/>
                <w:bCs/>
                <w:sz w:val="22"/>
                <w:szCs w:val="22"/>
                <w:lang w:val="es-CO"/>
              </w:rPr>
              <w:t xml:space="preserve">or medio del cual se adopta el Plan anticorrupción y de </w:t>
            </w:r>
            <w:r w:rsidR="000F36D7">
              <w:rPr>
                <w:rFonts w:ascii="Tahoma" w:hAnsi="Tahoma" w:cs="Tahoma"/>
                <w:bCs/>
                <w:sz w:val="22"/>
                <w:szCs w:val="22"/>
                <w:lang w:val="es-CO"/>
              </w:rPr>
              <w:t>A</w:t>
            </w:r>
            <w:r w:rsidRPr="00075CAD">
              <w:rPr>
                <w:rFonts w:ascii="Tahoma" w:hAnsi="Tahoma" w:cs="Tahoma"/>
                <w:bCs/>
                <w:sz w:val="22"/>
                <w:szCs w:val="22"/>
                <w:lang w:val="es-CO"/>
              </w:rPr>
              <w:t>tención al Ciudadano y el Código del Buen Gobierno para el año 201</w:t>
            </w:r>
            <w:r w:rsidR="000F36D7">
              <w:rPr>
                <w:rFonts w:ascii="Tahoma" w:hAnsi="Tahoma" w:cs="Tahoma"/>
                <w:bCs/>
                <w:sz w:val="22"/>
                <w:szCs w:val="22"/>
                <w:lang w:val="es-CO"/>
              </w:rPr>
              <w:t>6</w:t>
            </w:r>
            <w:r w:rsidRPr="00075CAD">
              <w:rPr>
                <w:rFonts w:ascii="Tahoma" w:hAnsi="Tahoma" w:cs="Tahoma"/>
                <w:bCs/>
                <w:sz w:val="22"/>
                <w:szCs w:val="22"/>
                <w:lang w:val="es-CO"/>
              </w:rPr>
              <w:t>, con el objetivo de impulsar las buenas prácticas de la gestión pública en el municipio de Manizales”</w:t>
            </w:r>
            <w:r w:rsidR="00443372">
              <w:rPr>
                <w:rFonts w:ascii="Tahoma" w:hAnsi="Tahoma" w:cs="Tahoma"/>
                <w:bCs/>
                <w:sz w:val="22"/>
                <w:szCs w:val="22"/>
                <w:lang w:val="es-CO"/>
              </w:rPr>
              <w:t xml:space="preserve">, </w:t>
            </w:r>
            <w:r w:rsidR="00443372" w:rsidRPr="00443372">
              <w:rPr>
                <w:rFonts w:ascii="Tahoma" w:hAnsi="Tahoma" w:cs="Tahoma"/>
                <w:bCs/>
                <w:sz w:val="22"/>
                <w:szCs w:val="22"/>
                <w:lang w:val="es-CO"/>
              </w:rPr>
              <w:t>Guía “Estrategias para la construcción del Plan Anticorrupción y de Atención al Ciudadano Versión 2”</w:t>
            </w:r>
            <w:r w:rsidR="00443372">
              <w:rPr>
                <w:rFonts w:ascii="Tahoma" w:hAnsi="Tahoma" w:cs="Tahoma"/>
                <w:bCs/>
                <w:sz w:val="22"/>
                <w:szCs w:val="22"/>
                <w:lang w:val="es-CO"/>
              </w:rPr>
              <w:t xml:space="preserve"> de la Presidencia de la República, </w:t>
            </w:r>
            <w:r w:rsidR="001F3BD8">
              <w:rPr>
                <w:rFonts w:ascii="Tahoma" w:hAnsi="Tahoma" w:cs="Tahoma"/>
                <w:bCs/>
                <w:sz w:val="22"/>
                <w:szCs w:val="22"/>
                <w:lang w:val="es-CO"/>
              </w:rPr>
              <w:t xml:space="preserve">Manual Único de Rendición de Cuentas, Guía para la Gestión del Riesgo de Corrupción de la Presidencia de la República, </w:t>
            </w:r>
            <w:r w:rsidR="00031C98">
              <w:rPr>
                <w:rFonts w:ascii="Tahoma" w:hAnsi="Tahoma" w:cs="Tahoma"/>
                <w:bCs/>
                <w:sz w:val="22"/>
                <w:szCs w:val="22"/>
                <w:lang w:val="es-CO"/>
              </w:rPr>
              <w:t>Ley 1712 de 2014</w:t>
            </w:r>
            <w:r w:rsidR="00245F68">
              <w:rPr>
                <w:rFonts w:ascii="Tahoma" w:hAnsi="Tahoma" w:cs="Tahoma"/>
                <w:bCs/>
                <w:sz w:val="22"/>
                <w:szCs w:val="22"/>
                <w:lang w:val="es-CO"/>
              </w:rPr>
              <w:t xml:space="preserve"> y</w:t>
            </w:r>
            <w:r w:rsidR="00031C98">
              <w:rPr>
                <w:rFonts w:ascii="Tahoma" w:hAnsi="Tahoma" w:cs="Tahoma"/>
                <w:bCs/>
                <w:sz w:val="22"/>
                <w:szCs w:val="22"/>
                <w:lang w:val="es-CO"/>
              </w:rPr>
              <w:t xml:space="preserve"> </w:t>
            </w:r>
            <w:r w:rsidR="00C147CC">
              <w:rPr>
                <w:rFonts w:ascii="Tahoma" w:hAnsi="Tahoma" w:cs="Tahoma"/>
                <w:bCs/>
                <w:sz w:val="22"/>
                <w:szCs w:val="22"/>
                <w:lang w:val="es-CO"/>
              </w:rPr>
              <w:t>Ley 1755 de 2015.</w:t>
            </w:r>
          </w:p>
        </w:tc>
      </w:tr>
    </w:tbl>
    <w:p w14:paraId="1579FBE7" w14:textId="77777777" w:rsidR="006C666C"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593B917A" w14:textId="77777777" w:rsidTr="00B77069">
        <w:trPr>
          <w:gridAfter w:val="1"/>
          <w:wAfter w:w="76" w:type="dxa"/>
          <w:trHeight w:val="362"/>
        </w:trPr>
        <w:tc>
          <w:tcPr>
            <w:tcW w:w="8978" w:type="dxa"/>
            <w:shd w:val="clear" w:color="auto" w:fill="D9D9D9" w:themeFill="background1" w:themeFillShade="D9"/>
            <w:vAlign w:val="center"/>
          </w:tcPr>
          <w:p w14:paraId="32574695" w14:textId="7DBBABC1" w:rsidR="003D2336" w:rsidRPr="004B76E3" w:rsidRDefault="003D2336" w:rsidP="00095FA2">
            <w:pPr>
              <w:jc w:val="center"/>
              <w:rPr>
                <w:rFonts w:ascii="Tahoma" w:hAnsi="Tahoma" w:cs="Tahoma"/>
                <w:b/>
                <w:sz w:val="22"/>
                <w:szCs w:val="22"/>
              </w:rPr>
            </w:pPr>
            <w:r>
              <w:rPr>
                <w:rFonts w:ascii="Tahoma" w:hAnsi="Tahoma" w:cs="Tahoma"/>
                <w:b/>
                <w:sz w:val="22"/>
                <w:szCs w:val="22"/>
              </w:rPr>
              <w:t>3</w:t>
            </w:r>
            <w:r w:rsidRPr="004B76E3">
              <w:rPr>
                <w:rFonts w:ascii="Tahoma" w:hAnsi="Tahoma" w:cs="Tahoma"/>
                <w:b/>
                <w:sz w:val="22"/>
                <w:szCs w:val="22"/>
              </w:rPr>
              <w:t xml:space="preserve">. </w:t>
            </w:r>
            <w:r w:rsidRPr="004B76E3">
              <w:rPr>
                <w:rFonts w:ascii="Tahoma" w:hAnsi="Tahoma" w:cs="Tahoma"/>
                <w:b/>
                <w:bCs/>
                <w:sz w:val="22"/>
                <w:szCs w:val="22"/>
              </w:rPr>
              <w:t>ACTIVIDADES DESARROLLADAS</w:t>
            </w:r>
          </w:p>
        </w:tc>
      </w:tr>
      <w:tr w:rsidR="003D2336" w:rsidRPr="00880DA6" w14:paraId="22B8E2B3" w14:textId="77777777" w:rsidTr="00095FA2">
        <w:trPr>
          <w:trHeight w:val="660"/>
        </w:trPr>
        <w:tc>
          <w:tcPr>
            <w:tcW w:w="9054" w:type="dxa"/>
            <w:gridSpan w:val="2"/>
            <w:hideMark/>
          </w:tcPr>
          <w:p w14:paraId="62E88C98"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Consulta en la página Web de Alcaldía de Manizales, para verificar la publicación del Plan Anticorrupción y de Atención al Ciudadano y el Código del Buen Gobierno para el año 2016</w:t>
            </w:r>
            <w:r>
              <w:rPr>
                <w:rFonts w:ascii="Tahoma" w:hAnsi="Tahoma" w:cs="Tahoma"/>
                <w:bCs/>
                <w:sz w:val="22"/>
                <w:szCs w:val="22"/>
                <w:lang w:val="es-CO"/>
              </w:rPr>
              <w:t>, en la fecha establecida para tal fin, 31 de marzo de 2016</w:t>
            </w:r>
            <w:r w:rsidRPr="00AC2DCF">
              <w:rPr>
                <w:rFonts w:ascii="Tahoma" w:hAnsi="Tahoma" w:cs="Tahoma"/>
                <w:bCs/>
                <w:sz w:val="22"/>
                <w:szCs w:val="22"/>
                <w:lang w:val="es-CO"/>
              </w:rPr>
              <w:t>.</w:t>
            </w:r>
          </w:p>
          <w:p w14:paraId="0E668288" w14:textId="77777777" w:rsidR="003D2336" w:rsidRDefault="003D2336" w:rsidP="003D2336">
            <w:pPr>
              <w:jc w:val="both"/>
              <w:rPr>
                <w:rFonts w:ascii="Tahoma" w:hAnsi="Tahoma" w:cs="Tahoma"/>
                <w:bCs/>
                <w:sz w:val="22"/>
                <w:szCs w:val="22"/>
                <w:lang w:val="es-CO"/>
              </w:rPr>
            </w:pPr>
          </w:p>
          <w:p w14:paraId="0DAA50AF"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Revisión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Pr>
                <w:rFonts w:ascii="Tahoma" w:hAnsi="Tahoma" w:cs="Tahoma"/>
                <w:bCs/>
                <w:sz w:val="22"/>
                <w:szCs w:val="22"/>
                <w:lang w:val="es-CO"/>
              </w:rPr>
              <w:t>”</w:t>
            </w:r>
            <w:r w:rsidRPr="00AC2DCF">
              <w:rPr>
                <w:rFonts w:ascii="Tahoma" w:hAnsi="Tahoma" w:cs="Tahoma"/>
                <w:bCs/>
                <w:sz w:val="22"/>
                <w:szCs w:val="22"/>
                <w:lang w:val="es-CO"/>
              </w:rPr>
              <w:t>.</w:t>
            </w:r>
          </w:p>
          <w:p w14:paraId="680143B1"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lastRenderedPageBreak/>
              <w:t>Revisión de los cronogramas establecidos para cada uno de los seis componentes que hace</w:t>
            </w:r>
            <w:r>
              <w:rPr>
                <w:rFonts w:ascii="Tahoma" w:hAnsi="Tahoma" w:cs="Tahoma"/>
                <w:bCs/>
                <w:sz w:val="22"/>
                <w:szCs w:val="22"/>
                <w:lang w:val="es-CO"/>
              </w:rPr>
              <w:t>n</w:t>
            </w:r>
            <w:r w:rsidRPr="00AC2DCF">
              <w:rPr>
                <w:rFonts w:ascii="Tahoma" w:hAnsi="Tahoma" w:cs="Tahoma"/>
                <w:bCs/>
                <w:sz w:val="22"/>
                <w:szCs w:val="22"/>
                <w:lang w:val="es-CO"/>
              </w:rPr>
              <w:t xml:space="preserve"> parte del Plan Anticorrupción 2016.</w:t>
            </w:r>
          </w:p>
          <w:p w14:paraId="138EDAE2" w14:textId="77777777" w:rsidR="003D2336" w:rsidRDefault="003D2336" w:rsidP="003D2336">
            <w:pPr>
              <w:jc w:val="both"/>
              <w:rPr>
                <w:rFonts w:ascii="Tahoma" w:hAnsi="Tahoma" w:cs="Tahoma"/>
                <w:bCs/>
                <w:sz w:val="22"/>
                <w:szCs w:val="22"/>
                <w:lang w:val="es-CO"/>
              </w:rPr>
            </w:pPr>
          </w:p>
          <w:p w14:paraId="6A6FD40F"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Consulta en la página www.suit.gov.co  Sistema Único de Información de Trámites – SUIT.</w:t>
            </w:r>
          </w:p>
          <w:p w14:paraId="5F2739FC" w14:textId="77777777" w:rsidR="003D2336" w:rsidRDefault="003D2336" w:rsidP="003D2336">
            <w:pPr>
              <w:jc w:val="both"/>
              <w:rPr>
                <w:rFonts w:ascii="Tahoma" w:hAnsi="Tahoma" w:cs="Tahoma"/>
                <w:bCs/>
                <w:sz w:val="22"/>
                <w:szCs w:val="22"/>
                <w:lang w:val="es-CO"/>
              </w:rPr>
            </w:pPr>
          </w:p>
          <w:p w14:paraId="7EE86005"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 xml:space="preserve">Consulta de la página www.sivirtual.gov.co, nuevo sitio para realizar trámites y servicios del </w:t>
            </w:r>
            <w:r>
              <w:rPr>
                <w:rFonts w:ascii="Tahoma" w:hAnsi="Tahoma" w:cs="Tahoma"/>
                <w:bCs/>
                <w:sz w:val="22"/>
                <w:szCs w:val="22"/>
                <w:lang w:val="es-CO"/>
              </w:rPr>
              <w:t>E</w:t>
            </w:r>
            <w:r w:rsidRPr="00AC2DCF">
              <w:rPr>
                <w:rFonts w:ascii="Tahoma" w:hAnsi="Tahoma" w:cs="Tahoma"/>
                <w:bCs/>
                <w:sz w:val="22"/>
                <w:szCs w:val="22"/>
                <w:lang w:val="es-CO"/>
              </w:rPr>
              <w:t>stado en línea.</w:t>
            </w:r>
          </w:p>
          <w:p w14:paraId="33B89A1A" w14:textId="77777777" w:rsidR="003D2336" w:rsidRPr="003F0F4B" w:rsidRDefault="003D2336" w:rsidP="003D2336">
            <w:pPr>
              <w:jc w:val="both"/>
              <w:rPr>
                <w:rFonts w:ascii="Tahoma" w:hAnsi="Tahoma" w:cs="Tahoma"/>
                <w:bCs/>
                <w:sz w:val="22"/>
                <w:szCs w:val="22"/>
                <w:lang w:val="es-CO"/>
              </w:rPr>
            </w:pPr>
          </w:p>
          <w:p w14:paraId="4BFC9BB4" w14:textId="3C4D3543"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Entrevista con los Profesionales Universitarios Claudia Marcela Salazar Rojas - Líder de Atención al Usuario de la Alcaldía de Manizales, Leandra Meza Uribe, Líder del Sistema de Gestión Integral, Johanna Arbeláez Loaiza de la Unidad de Gestión Integral, Rafael Antonio Tejada Quintero, Líder de la Unidad de Gestión Tecnológica de la Secretaría de Servicios Administrativos</w:t>
            </w:r>
            <w:r>
              <w:rPr>
                <w:rFonts w:ascii="Tahoma" w:hAnsi="Tahoma" w:cs="Tahoma"/>
                <w:bCs/>
                <w:sz w:val="22"/>
                <w:szCs w:val="22"/>
                <w:lang w:val="es-CO"/>
              </w:rPr>
              <w:t xml:space="preserve"> y Julián Alberto Sanín </w:t>
            </w:r>
            <w:r w:rsidR="00B77069">
              <w:rPr>
                <w:rFonts w:ascii="Tahoma" w:hAnsi="Tahoma" w:cs="Tahoma"/>
                <w:bCs/>
                <w:sz w:val="22"/>
                <w:szCs w:val="22"/>
                <w:lang w:val="es-CO"/>
              </w:rPr>
              <w:t xml:space="preserve">Castro, </w:t>
            </w:r>
            <w:r>
              <w:rPr>
                <w:rFonts w:ascii="Tahoma" w:hAnsi="Tahoma" w:cs="Tahoma"/>
                <w:bCs/>
                <w:sz w:val="22"/>
                <w:szCs w:val="22"/>
                <w:lang w:val="es-CO"/>
              </w:rPr>
              <w:t>Profesional de la misma Unidad,</w:t>
            </w:r>
            <w:r w:rsidRPr="00AC2DCF">
              <w:rPr>
                <w:rFonts w:ascii="Tahoma" w:hAnsi="Tahoma" w:cs="Tahoma"/>
                <w:bCs/>
                <w:smallCaps/>
                <w:sz w:val="22"/>
                <w:szCs w:val="22"/>
                <w:lang w:val="es-CO"/>
              </w:rPr>
              <w:t xml:space="preserve"> </w:t>
            </w:r>
            <w:r w:rsidRPr="00AC2DCF">
              <w:rPr>
                <w:rFonts w:ascii="Tahoma" w:hAnsi="Tahoma" w:cs="Tahoma"/>
                <w:bCs/>
                <w:sz w:val="22"/>
                <w:szCs w:val="22"/>
                <w:lang w:val="es-CO"/>
              </w:rPr>
              <w:t>Diana Patricia Martínez López, Líder de la Unidad de Planeación Estratégica de la Secretaría de Planeación</w:t>
            </w:r>
            <w:r>
              <w:rPr>
                <w:rFonts w:ascii="Tahoma" w:hAnsi="Tahoma" w:cs="Tahoma"/>
                <w:bCs/>
                <w:sz w:val="22"/>
                <w:szCs w:val="22"/>
                <w:lang w:val="es-CO"/>
              </w:rPr>
              <w:t xml:space="preserve">, </w:t>
            </w:r>
            <w:r w:rsidRPr="00AC2DCF">
              <w:rPr>
                <w:rFonts w:ascii="Tahoma" w:hAnsi="Tahoma" w:cs="Tahoma"/>
                <w:bCs/>
                <w:sz w:val="22"/>
                <w:szCs w:val="22"/>
                <w:lang w:val="es-CO"/>
              </w:rPr>
              <w:t>Jhon Fredy Franco</w:t>
            </w:r>
            <w:r w:rsidR="00B77069">
              <w:rPr>
                <w:rFonts w:ascii="Tahoma" w:hAnsi="Tahoma" w:cs="Tahoma"/>
                <w:bCs/>
                <w:sz w:val="22"/>
                <w:szCs w:val="22"/>
                <w:lang w:val="es-CO"/>
              </w:rPr>
              <w:t xml:space="preserve"> Giraldo</w:t>
            </w:r>
            <w:r w:rsidRPr="00AC2DCF">
              <w:rPr>
                <w:rFonts w:ascii="Tahoma" w:hAnsi="Tahoma" w:cs="Tahoma"/>
                <w:bCs/>
                <w:sz w:val="22"/>
                <w:szCs w:val="22"/>
                <w:lang w:val="es-CO"/>
              </w:rPr>
              <w:t xml:space="preserve">, Líder </w:t>
            </w:r>
            <w:r w:rsidR="00B77069">
              <w:rPr>
                <w:rFonts w:ascii="Tahoma" w:hAnsi="Tahoma" w:cs="Tahoma"/>
                <w:bCs/>
                <w:sz w:val="22"/>
                <w:szCs w:val="22"/>
                <w:lang w:val="es-CO"/>
              </w:rPr>
              <w:t xml:space="preserve">de la </w:t>
            </w:r>
            <w:r w:rsidRPr="00AC2DCF">
              <w:rPr>
                <w:rFonts w:ascii="Tahoma" w:hAnsi="Tahoma" w:cs="Tahoma"/>
                <w:bCs/>
                <w:sz w:val="22"/>
                <w:szCs w:val="22"/>
                <w:lang w:val="es-CO"/>
              </w:rPr>
              <w:t>Unidad de Divulgación y Prensa</w:t>
            </w:r>
            <w:r>
              <w:rPr>
                <w:rFonts w:ascii="Tahoma" w:hAnsi="Tahoma" w:cs="Tahoma"/>
                <w:bCs/>
                <w:sz w:val="22"/>
                <w:szCs w:val="22"/>
                <w:lang w:val="es-CO"/>
              </w:rPr>
              <w:t xml:space="preserve"> y las profesionales de la comunicación de la misma Unidad, Luis</w:t>
            </w:r>
            <w:r w:rsidR="00B77069">
              <w:rPr>
                <w:rFonts w:ascii="Tahoma" w:hAnsi="Tahoma" w:cs="Tahoma"/>
                <w:bCs/>
                <w:sz w:val="22"/>
                <w:szCs w:val="22"/>
                <w:lang w:val="es-CO"/>
              </w:rPr>
              <w:t>a</w:t>
            </w:r>
            <w:r>
              <w:rPr>
                <w:rFonts w:ascii="Tahoma" w:hAnsi="Tahoma" w:cs="Tahoma"/>
                <w:bCs/>
                <w:sz w:val="22"/>
                <w:szCs w:val="22"/>
                <w:lang w:val="es-CO"/>
              </w:rPr>
              <w:t xml:space="preserve"> María Giraldo H</w:t>
            </w:r>
            <w:r w:rsidR="00B77069">
              <w:rPr>
                <w:rFonts w:ascii="Tahoma" w:hAnsi="Tahoma" w:cs="Tahoma"/>
                <w:bCs/>
                <w:sz w:val="22"/>
                <w:szCs w:val="22"/>
                <w:lang w:val="es-CO"/>
              </w:rPr>
              <w:t>ernández</w:t>
            </w:r>
            <w:r>
              <w:rPr>
                <w:rFonts w:ascii="Tahoma" w:hAnsi="Tahoma" w:cs="Tahoma"/>
                <w:bCs/>
                <w:sz w:val="22"/>
                <w:szCs w:val="22"/>
                <w:lang w:val="es-CO"/>
              </w:rPr>
              <w:t xml:space="preserve"> y Viviana Andrea Gómez Gómez</w:t>
            </w:r>
            <w:r w:rsidRPr="00AC2DCF">
              <w:rPr>
                <w:rFonts w:ascii="Tahoma" w:hAnsi="Tahoma" w:cs="Tahoma"/>
                <w:bCs/>
                <w:sz w:val="22"/>
                <w:szCs w:val="22"/>
                <w:lang w:val="es-CO"/>
              </w:rPr>
              <w:t>.</w:t>
            </w:r>
          </w:p>
          <w:p w14:paraId="34EE3470" w14:textId="77777777" w:rsidR="003D2336" w:rsidRPr="003F0F4B" w:rsidRDefault="003D2336" w:rsidP="003D2336">
            <w:pPr>
              <w:jc w:val="both"/>
              <w:rPr>
                <w:rFonts w:ascii="Tahoma" w:hAnsi="Tahoma" w:cs="Tahoma"/>
                <w:bCs/>
                <w:sz w:val="22"/>
                <w:szCs w:val="22"/>
                <w:lang w:val="es-CO"/>
              </w:rPr>
            </w:pPr>
          </w:p>
          <w:p w14:paraId="315E83AE" w14:textId="77777777" w:rsidR="003D2336" w:rsidRPr="00AC2DCF" w:rsidRDefault="003D2336" w:rsidP="003D2336">
            <w:pPr>
              <w:pStyle w:val="Prrafodelista"/>
              <w:numPr>
                <w:ilvl w:val="0"/>
                <w:numId w:val="13"/>
              </w:numPr>
              <w:ind w:left="360"/>
              <w:jc w:val="both"/>
              <w:rPr>
                <w:rFonts w:ascii="Tahoma" w:hAnsi="Tahoma" w:cs="Tahoma"/>
                <w:bCs/>
                <w:sz w:val="22"/>
                <w:szCs w:val="22"/>
              </w:rPr>
            </w:pPr>
            <w:r w:rsidRPr="00AC2DCF">
              <w:rPr>
                <w:rFonts w:ascii="Tahoma" w:hAnsi="Tahoma" w:cs="Tahoma"/>
                <w:bCs/>
                <w:sz w:val="22"/>
                <w:szCs w:val="22"/>
                <w:lang w:val="es-CO"/>
              </w:rPr>
              <w:t>Revisión y verificación documental para constatar el avance de cumplimiento de las actividades descritas en los cronograma</w:t>
            </w:r>
            <w:r>
              <w:rPr>
                <w:rFonts w:ascii="Tahoma" w:hAnsi="Tahoma" w:cs="Tahoma"/>
                <w:bCs/>
                <w:sz w:val="22"/>
                <w:szCs w:val="22"/>
                <w:lang w:val="es-CO"/>
              </w:rPr>
              <w:t>s</w:t>
            </w:r>
            <w:r w:rsidRPr="00AC2DCF">
              <w:rPr>
                <w:rFonts w:ascii="Tahoma" w:hAnsi="Tahoma" w:cs="Tahoma"/>
                <w:bCs/>
                <w:sz w:val="22"/>
                <w:szCs w:val="22"/>
                <w:lang w:val="es-CO"/>
              </w:rPr>
              <w:t xml:space="preserve"> de los componentes del Plan Anticorrupción y de Atención al Ciudadano y Código de Buen Gobierno </w:t>
            </w:r>
            <w:r>
              <w:rPr>
                <w:rFonts w:ascii="Tahoma" w:hAnsi="Tahoma" w:cs="Tahoma"/>
                <w:bCs/>
                <w:sz w:val="22"/>
                <w:szCs w:val="22"/>
                <w:lang w:val="es-CO"/>
              </w:rPr>
              <w:t xml:space="preserve">para el año 2016, </w:t>
            </w:r>
            <w:r w:rsidRPr="00AC2DCF">
              <w:rPr>
                <w:rFonts w:ascii="Tahoma" w:hAnsi="Tahoma" w:cs="Tahoma"/>
                <w:bCs/>
                <w:sz w:val="22"/>
                <w:szCs w:val="22"/>
                <w:lang w:val="es-CO"/>
              </w:rPr>
              <w:t>con el objetivo de</w:t>
            </w:r>
            <w:r w:rsidRPr="00AC2DCF">
              <w:rPr>
                <w:rFonts w:ascii="Tahoma" w:hAnsi="Tahoma" w:cs="Tahoma"/>
                <w:bCs/>
                <w:sz w:val="22"/>
                <w:szCs w:val="22"/>
              </w:rPr>
              <w:t xml:space="preserve"> impulsar las buenas prácticas de la gestión pública en el Municipio de Manizales</w:t>
            </w:r>
            <w:r>
              <w:rPr>
                <w:rFonts w:ascii="Tahoma" w:hAnsi="Tahoma" w:cs="Tahoma"/>
                <w:bCs/>
                <w:sz w:val="22"/>
                <w:szCs w:val="22"/>
              </w:rPr>
              <w:t>, de las cuales algunas presentan fecha de cumplimiento al 30 de abril de 2016, corte de la presente auditoría, y las demás establecen ejecución a lo largo de la presente vigencia y hasta el 31 de diciembre de 2016</w:t>
            </w:r>
            <w:r w:rsidRPr="00AC2DCF">
              <w:rPr>
                <w:rFonts w:ascii="Tahoma" w:hAnsi="Tahoma" w:cs="Tahoma"/>
                <w:bCs/>
                <w:sz w:val="22"/>
                <w:szCs w:val="22"/>
              </w:rPr>
              <w:t>.</w:t>
            </w:r>
          </w:p>
          <w:p w14:paraId="11EE7FA2" w14:textId="77777777" w:rsidR="003D2336" w:rsidRDefault="003D2336" w:rsidP="003D2336">
            <w:pPr>
              <w:jc w:val="both"/>
              <w:rPr>
                <w:rFonts w:ascii="Tahoma" w:hAnsi="Tahoma" w:cs="Tahoma"/>
                <w:bCs/>
                <w:sz w:val="22"/>
                <w:szCs w:val="22"/>
              </w:rPr>
            </w:pPr>
          </w:p>
          <w:p w14:paraId="05A32007" w14:textId="77777777" w:rsidR="003D2336" w:rsidRPr="00AC2DCF" w:rsidRDefault="003D2336" w:rsidP="003D2336">
            <w:pPr>
              <w:pStyle w:val="Prrafodelista"/>
              <w:numPr>
                <w:ilvl w:val="0"/>
                <w:numId w:val="13"/>
              </w:numPr>
              <w:ind w:left="360"/>
              <w:jc w:val="both"/>
              <w:rPr>
                <w:rFonts w:ascii="Tahoma" w:hAnsi="Tahoma" w:cs="Tahoma"/>
                <w:bCs/>
                <w:sz w:val="22"/>
                <w:szCs w:val="22"/>
              </w:rPr>
            </w:pPr>
            <w:r w:rsidRPr="00AC2DCF">
              <w:rPr>
                <w:rFonts w:ascii="Tahoma" w:hAnsi="Tahoma" w:cs="Tahoma"/>
                <w:bCs/>
                <w:sz w:val="22"/>
                <w:szCs w:val="22"/>
              </w:rPr>
              <w:t>Revisión en la página web de la Alcaldía de Manizales de los informes p</w:t>
            </w:r>
            <w:r>
              <w:rPr>
                <w:rFonts w:ascii="Tahoma" w:hAnsi="Tahoma" w:cs="Tahoma"/>
                <w:bCs/>
                <w:sz w:val="22"/>
                <w:szCs w:val="22"/>
              </w:rPr>
              <w:t>ublicados</w:t>
            </w:r>
            <w:r w:rsidRPr="00AC2DCF">
              <w:rPr>
                <w:rFonts w:ascii="Tahoma" w:hAnsi="Tahoma" w:cs="Tahoma"/>
                <w:bCs/>
                <w:sz w:val="22"/>
                <w:szCs w:val="22"/>
              </w:rPr>
              <w:t xml:space="preserve"> para la  rendición de cuentas y otras actividades del Plan Anticorrupción y de Atención al Ciudadano 2016. </w:t>
            </w:r>
          </w:p>
          <w:p w14:paraId="10C9A483" w14:textId="331EF718" w:rsidR="003D2336" w:rsidRPr="00880DA6" w:rsidRDefault="003D2336" w:rsidP="00095FA2">
            <w:pPr>
              <w:jc w:val="both"/>
              <w:rPr>
                <w:rFonts w:ascii="Tahoma" w:hAnsi="Tahoma" w:cs="Tahoma"/>
                <w:bCs/>
                <w:sz w:val="22"/>
                <w:szCs w:val="22"/>
              </w:rPr>
            </w:pPr>
          </w:p>
        </w:tc>
      </w:tr>
    </w:tbl>
    <w:p w14:paraId="2DDBC828" w14:textId="743DB58A" w:rsidR="00E0595B" w:rsidRDefault="00E0595B" w:rsidP="005232C2">
      <w:pPr>
        <w:jc w:val="both"/>
        <w:rPr>
          <w:rFonts w:ascii="Tahoma" w:hAnsi="Tahoma" w:cs="Tahoma"/>
          <w:b/>
          <w:bCs/>
          <w:sz w:val="22"/>
          <w:szCs w:val="22"/>
        </w:rPr>
      </w:pPr>
    </w:p>
    <w:p w14:paraId="2F136DFF" w14:textId="77777777" w:rsidR="009C1DC3" w:rsidRDefault="009C1DC3" w:rsidP="005232C2">
      <w:pPr>
        <w:jc w:val="both"/>
        <w:rPr>
          <w:rFonts w:ascii="Tahoma" w:hAnsi="Tahoma" w:cs="Tahoma"/>
          <w:b/>
          <w:bCs/>
          <w:sz w:val="22"/>
          <w:szCs w:val="22"/>
        </w:rPr>
      </w:pPr>
    </w:p>
    <w:p w14:paraId="176F9CAB" w14:textId="77777777" w:rsidR="009C1DC3" w:rsidRDefault="009C1DC3" w:rsidP="005232C2">
      <w:pPr>
        <w:jc w:val="both"/>
        <w:rPr>
          <w:rFonts w:ascii="Tahoma" w:hAnsi="Tahoma" w:cs="Tahoma"/>
          <w:b/>
          <w:bCs/>
          <w:sz w:val="22"/>
          <w:szCs w:val="22"/>
        </w:rPr>
      </w:pPr>
    </w:p>
    <w:p w14:paraId="2FDA0C1C" w14:textId="77777777" w:rsidR="009C1DC3" w:rsidRDefault="009C1DC3" w:rsidP="005232C2">
      <w:pPr>
        <w:jc w:val="both"/>
        <w:rPr>
          <w:rFonts w:ascii="Tahoma" w:hAnsi="Tahoma" w:cs="Tahoma"/>
          <w:b/>
          <w:bCs/>
          <w:sz w:val="22"/>
          <w:szCs w:val="22"/>
        </w:rPr>
      </w:pPr>
    </w:p>
    <w:p w14:paraId="5B0F6CA8" w14:textId="77777777" w:rsidR="009C1DC3" w:rsidRPr="004B76E3" w:rsidRDefault="009C1DC3"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68717EF9" w14:textId="77777777" w:rsidTr="00B77069">
        <w:trPr>
          <w:gridAfter w:val="1"/>
          <w:wAfter w:w="76" w:type="dxa"/>
          <w:trHeight w:val="362"/>
        </w:trPr>
        <w:tc>
          <w:tcPr>
            <w:tcW w:w="8978" w:type="dxa"/>
            <w:shd w:val="clear" w:color="auto" w:fill="D9D9D9" w:themeFill="background1" w:themeFillShade="D9"/>
            <w:vAlign w:val="center"/>
          </w:tcPr>
          <w:p w14:paraId="4980ACC9" w14:textId="06C00440" w:rsidR="003D2336" w:rsidRPr="004B76E3" w:rsidRDefault="003D2336" w:rsidP="00095FA2">
            <w:pPr>
              <w:jc w:val="center"/>
              <w:rPr>
                <w:rFonts w:ascii="Tahoma" w:hAnsi="Tahoma" w:cs="Tahoma"/>
                <w:b/>
                <w:sz w:val="22"/>
                <w:szCs w:val="22"/>
              </w:rPr>
            </w:pPr>
            <w:r>
              <w:rPr>
                <w:rFonts w:ascii="Tahoma" w:hAnsi="Tahoma" w:cs="Tahoma"/>
                <w:b/>
                <w:sz w:val="22"/>
                <w:szCs w:val="22"/>
              </w:rPr>
              <w:t>4</w:t>
            </w:r>
            <w:r w:rsidRPr="004B76E3">
              <w:rPr>
                <w:rFonts w:ascii="Tahoma" w:hAnsi="Tahoma" w:cs="Tahoma"/>
                <w:b/>
                <w:sz w:val="22"/>
                <w:szCs w:val="22"/>
              </w:rPr>
              <w:t xml:space="preserve">. </w:t>
            </w:r>
            <w:r w:rsidRPr="004B76E3">
              <w:rPr>
                <w:rFonts w:ascii="Tahoma" w:hAnsi="Tahoma" w:cs="Tahoma"/>
                <w:b/>
                <w:bCs/>
                <w:sz w:val="22"/>
                <w:szCs w:val="22"/>
              </w:rPr>
              <w:t>MUESTRA AUDITADA</w:t>
            </w:r>
          </w:p>
        </w:tc>
      </w:tr>
      <w:tr w:rsidR="003D2336" w:rsidRPr="00880DA6" w14:paraId="3D7590D9" w14:textId="77777777" w:rsidTr="00095FA2">
        <w:trPr>
          <w:trHeight w:val="660"/>
        </w:trPr>
        <w:tc>
          <w:tcPr>
            <w:tcW w:w="9054" w:type="dxa"/>
            <w:gridSpan w:val="2"/>
            <w:hideMark/>
          </w:tcPr>
          <w:p w14:paraId="1B78FDA3" w14:textId="77777777" w:rsidR="003D2336" w:rsidRDefault="003D2336" w:rsidP="003D2336">
            <w:pPr>
              <w:jc w:val="both"/>
              <w:rPr>
                <w:rFonts w:ascii="Tahoma" w:hAnsi="Tahoma" w:cs="Tahoma"/>
                <w:bCs/>
                <w:sz w:val="22"/>
                <w:szCs w:val="22"/>
                <w:lang w:val="es-CO"/>
              </w:rPr>
            </w:pPr>
            <w:r w:rsidRPr="00AC2DCF">
              <w:rPr>
                <w:rFonts w:ascii="Tahoma" w:hAnsi="Tahoma" w:cs="Tahoma"/>
                <w:bCs/>
                <w:sz w:val="22"/>
                <w:szCs w:val="22"/>
                <w:lang w:val="es-CO"/>
              </w:rPr>
              <w:t>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Pr>
                <w:rFonts w:ascii="Tahoma" w:hAnsi="Tahoma" w:cs="Tahoma"/>
                <w:bCs/>
                <w:sz w:val="22"/>
                <w:szCs w:val="22"/>
                <w:lang w:val="es-CO"/>
              </w:rPr>
              <w:t>”, con sus cronogramas anexos para desarrollar las actividades de acuerdo con los siguientes componentes:</w:t>
            </w:r>
          </w:p>
          <w:p w14:paraId="0BA7062C" w14:textId="77777777" w:rsidR="003D2336" w:rsidRDefault="003D2336" w:rsidP="003D2336">
            <w:pPr>
              <w:jc w:val="both"/>
              <w:rPr>
                <w:rFonts w:ascii="Tahoma" w:hAnsi="Tahoma" w:cs="Tahoma"/>
                <w:bCs/>
                <w:sz w:val="22"/>
                <w:szCs w:val="22"/>
                <w:lang w:val="es-CO"/>
              </w:rPr>
            </w:pPr>
          </w:p>
          <w:p w14:paraId="21A4830E"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1: Gestión de Riesgos de Corrupción – Mapa de Riesgos de Corrupción.</w:t>
            </w:r>
          </w:p>
          <w:p w14:paraId="3F4464FC"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2: Estrategia de Racionalización de Trámites.</w:t>
            </w:r>
          </w:p>
          <w:p w14:paraId="3DE2FA87"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3: Rendición de Cuentas.</w:t>
            </w:r>
          </w:p>
          <w:p w14:paraId="47B1E4DC"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4: Mecanismos para mejorar la Atención al Ciudadano.</w:t>
            </w:r>
          </w:p>
          <w:p w14:paraId="0EA5A145"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5: Mecanismos para la Transparencia y Acceso a la Información.</w:t>
            </w:r>
          </w:p>
          <w:p w14:paraId="6520FC22" w14:textId="79C844BE" w:rsidR="003D2336" w:rsidRPr="009C1DC3" w:rsidRDefault="003D2336" w:rsidP="00095FA2">
            <w:pPr>
              <w:jc w:val="both"/>
              <w:rPr>
                <w:rFonts w:ascii="Tahoma" w:hAnsi="Tahoma" w:cs="Tahoma"/>
                <w:bCs/>
                <w:sz w:val="22"/>
                <w:szCs w:val="22"/>
                <w:lang w:val="es-CO"/>
              </w:rPr>
            </w:pPr>
            <w:r>
              <w:rPr>
                <w:rFonts w:ascii="Tahoma" w:hAnsi="Tahoma" w:cs="Tahoma"/>
                <w:bCs/>
                <w:sz w:val="22"/>
                <w:szCs w:val="22"/>
                <w:lang w:val="es-CO"/>
              </w:rPr>
              <w:t>Componente 6: Iniciativas Adicionales</w:t>
            </w:r>
            <w:r w:rsidRPr="00AC2DCF">
              <w:rPr>
                <w:rFonts w:ascii="Tahoma" w:hAnsi="Tahoma" w:cs="Tahoma"/>
                <w:bCs/>
                <w:sz w:val="22"/>
                <w:szCs w:val="22"/>
                <w:lang w:val="es-CO"/>
              </w:rPr>
              <w:t>.</w:t>
            </w:r>
          </w:p>
        </w:tc>
      </w:tr>
    </w:tbl>
    <w:p w14:paraId="46065652" w14:textId="77777777" w:rsidR="005232C2" w:rsidRPr="004B76E3" w:rsidRDefault="005232C2"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28E34E82" w14:textId="77777777" w:rsidTr="00B77069">
        <w:trPr>
          <w:gridAfter w:val="1"/>
          <w:wAfter w:w="76" w:type="dxa"/>
          <w:trHeight w:val="362"/>
        </w:trPr>
        <w:tc>
          <w:tcPr>
            <w:tcW w:w="8978" w:type="dxa"/>
            <w:shd w:val="clear" w:color="auto" w:fill="D9D9D9" w:themeFill="background1" w:themeFillShade="D9"/>
            <w:vAlign w:val="center"/>
          </w:tcPr>
          <w:p w14:paraId="1E6BCEA5" w14:textId="2F6D49D7" w:rsidR="003D2336" w:rsidRPr="004B76E3" w:rsidRDefault="003D2336" w:rsidP="00095FA2">
            <w:pPr>
              <w:jc w:val="center"/>
              <w:rPr>
                <w:rFonts w:ascii="Tahoma" w:hAnsi="Tahoma" w:cs="Tahoma"/>
                <w:b/>
                <w:sz w:val="22"/>
                <w:szCs w:val="22"/>
              </w:rPr>
            </w:pPr>
            <w:r>
              <w:rPr>
                <w:rFonts w:ascii="Tahoma" w:hAnsi="Tahoma" w:cs="Tahoma"/>
                <w:b/>
                <w:sz w:val="22"/>
                <w:szCs w:val="22"/>
              </w:rPr>
              <w:t>5</w:t>
            </w:r>
            <w:r w:rsidRPr="004B76E3">
              <w:rPr>
                <w:rFonts w:ascii="Tahoma" w:hAnsi="Tahoma" w:cs="Tahoma"/>
                <w:b/>
                <w:sz w:val="22"/>
                <w:szCs w:val="22"/>
              </w:rPr>
              <w:t xml:space="preserve">. </w:t>
            </w:r>
            <w:r>
              <w:rPr>
                <w:rFonts w:ascii="Tahoma" w:hAnsi="Tahoma" w:cs="Tahoma"/>
                <w:b/>
                <w:bCs/>
                <w:sz w:val="22"/>
                <w:szCs w:val="22"/>
              </w:rPr>
              <w:t>FORTALEZAS</w:t>
            </w:r>
          </w:p>
        </w:tc>
      </w:tr>
      <w:tr w:rsidR="003D2336" w:rsidRPr="00880DA6" w14:paraId="199DF693" w14:textId="77777777" w:rsidTr="00095FA2">
        <w:trPr>
          <w:trHeight w:val="660"/>
        </w:trPr>
        <w:tc>
          <w:tcPr>
            <w:tcW w:w="9054" w:type="dxa"/>
            <w:gridSpan w:val="2"/>
            <w:hideMark/>
          </w:tcPr>
          <w:p w14:paraId="30018A2D" w14:textId="77777777" w:rsidR="003D2336" w:rsidRDefault="003D2336" w:rsidP="003D2336">
            <w:pPr>
              <w:pStyle w:val="Prrafodelista"/>
              <w:numPr>
                <w:ilvl w:val="0"/>
                <w:numId w:val="14"/>
              </w:numPr>
              <w:jc w:val="both"/>
              <w:rPr>
                <w:rFonts w:ascii="Tahoma" w:hAnsi="Tahoma" w:cs="Tahoma"/>
                <w:bCs/>
                <w:sz w:val="22"/>
                <w:szCs w:val="22"/>
              </w:rPr>
            </w:pPr>
            <w:r w:rsidRPr="0047311F">
              <w:rPr>
                <w:rFonts w:ascii="Tahoma" w:hAnsi="Tahoma" w:cs="Tahoma"/>
                <w:bCs/>
                <w:sz w:val="22"/>
                <w:szCs w:val="22"/>
              </w:rPr>
              <w:t>Buena disposición y experiencia de los funcionarios responsables del cumplimiento de las  actividades  programadas en los cronogramas establecidos para los componentes del Plan Anticorrupción y de Atención al Ciudadano y Código de Buen Gobierno para el año 2016.</w:t>
            </w:r>
          </w:p>
          <w:p w14:paraId="461EBFF5" w14:textId="77777777" w:rsidR="003D2336" w:rsidRDefault="003D2336" w:rsidP="003D2336">
            <w:pPr>
              <w:pStyle w:val="Prrafodelista"/>
              <w:numPr>
                <w:ilvl w:val="0"/>
                <w:numId w:val="14"/>
              </w:numPr>
              <w:jc w:val="both"/>
              <w:rPr>
                <w:rFonts w:ascii="Tahoma" w:hAnsi="Tahoma" w:cs="Tahoma"/>
                <w:bCs/>
                <w:sz w:val="22"/>
                <w:szCs w:val="22"/>
              </w:rPr>
            </w:pPr>
            <w:r>
              <w:rPr>
                <w:rFonts w:ascii="Tahoma" w:hAnsi="Tahoma" w:cs="Tahoma"/>
                <w:bCs/>
                <w:sz w:val="22"/>
                <w:szCs w:val="22"/>
              </w:rPr>
              <w:t>Se destaca el despliegue en redes sociales para la promocionar y convocar a toda la comunidad al evento de la Rendición de Cuentas “100 días con más oportunidades”.</w:t>
            </w:r>
          </w:p>
          <w:p w14:paraId="24B6EB27" w14:textId="77777777" w:rsidR="003D2336" w:rsidRDefault="003D2336" w:rsidP="003D2336">
            <w:pPr>
              <w:pStyle w:val="Prrafodelista"/>
              <w:numPr>
                <w:ilvl w:val="0"/>
                <w:numId w:val="14"/>
              </w:numPr>
              <w:jc w:val="both"/>
              <w:rPr>
                <w:rFonts w:ascii="Tahoma" w:hAnsi="Tahoma" w:cs="Tahoma"/>
                <w:bCs/>
                <w:sz w:val="22"/>
                <w:szCs w:val="22"/>
              </w:rPr>
            </w:pPr>
            <w:r>
              <w:rPr>
                <w:rFonts w:ascii="Tahoma" w:hAnsi="Tahoma" w:cs="Tahoma"/>
                <w:bCs/>
                <w:sz w:val="22"/>
                <w:szCs w:val="22"/>
              </w:rPr>
              <w:t>Agilidad y prontitud en el cumplimiento del componente de Racionalización de trámites  hasta lograr su publicación en la página web, logrando en el primer cuatrimestre un avance del 89%.</w:t>
            </w:r>
          </w:p>
          <w:p w14:paraId="0DE80895" w14:textId="13021374" w:rsidR="003D2336" w:rsidRPr="00880DA6" w:rsidRDefault="003D2336" w:rsidP="009C1DC3">
            <w:pPr>
              <w:pStyle w:val="Prrafodelista"/>
              <w:numPr>
                <w:ilvl w:val="0"/>
                <w:numId w:val="14"/>
              </w:numPr>
              <w:jc w:val="both"/>
              <w:rPr>
                <w:rFonts w:ascii="Tahoma" w:hAnsi="Tahoma" w:cs="Tahoma"/>
                <w:bCs/>
                <w:sz w:val="22"/>
                <w:szCs w:val="22"/>
              </w:rPr>
            </w:pPr>
            <w:r>
              <w:rPr>
                <w:rFonts w:ascii="Tahoma" w:hAnsi="Tahoma" w:cs="Tahoma"/>
                <w:bCs/>
                <w:sz w:val="22"/>
                <w:szCs w:val="22"/>
              </w:rPr>
              <w:t>Es de resaltar el grado compromiso para ejecutar las actividades en el componente de mecanismos de trasparencia y acceso de información, donde se cumplieron 34 de las 38 actividades propuestas.</w:t>
            </w:r>
          </w:p>
        </w:tc>
      </w:tr>
    </w:tbl>
    <w:p w14:paraId="05B27549" w14:textId="77777777" w:rsidR="00EF2685" w:rsidRPr="00EF2685" w:rsidRDefault="00EF2685"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1988A418" w14:textId="77777777" w:rsidTr="00B77069">
        <w:trPr>
          <w:gridAfter w:val="1"/>
          <w:wAfter w:w="76" w:type="dxa"/>
          <w:trHeight w:val="362"/>
        </w:trPr>
        <w:tc>
          <w:tcPr>
            <w:tcW w:w="8978" w:type="dxa"/>
            <w:shd w:val="clear" w:color="auto" w:fill="D9D9D9" w:themeFill="background1" w:themeFillShade="D9"/>
            <w:vAlign w:val="center"/>
          </w:tcPr>
          <w:p w14:paraId="13A41A10" w14:textId="2E285A65" w:rsidR="003D2336" w:rsidRPr="004B76E3" w:rsidRDefault="003D2336" w:rsidP="003D2336">
            <w:pPr>
              <w:jc w:val="center"/>
              <w:rPr>
                <w:rFonts w:ascii="Tahoma" w:hAnsi="Tahoma" w:cs="Tahoma"/>
                <w:b/>
                <w:sz w:val="22"/>
                <w:szCs w:val="22"/>
              </w:rPr>
            </w:pPr>
            <w:r>
              <w:rPr>
                <w:rFonts w:ascii="Tahoma" w:hAnsi="Tahoma" w:cs="Tahoma"/>
                <w:b/>
                <w:sz w:val="22"/>
                <w:szCs w:val="22"/>
              </w:rPr>
              <w:t>6</w:t>
            </w:r>
            <w:r w:rsidRPr="004B76E3">
              <w:rPr>
                <w:rFonts w:ascii="Tahoma" w:hAnsi="Tahoma" w:cs="Tahoma"/>
                <w:b/>
                <w:sz w:val="22"/>
                <w:szCs w:val="22"/>
              </w:rPr>
              <w:t xml:space="preserve">. </w:t>
            </w:r>
            <w:r w:rsidRPr="004B76E3">
              <w:rPr>
                <w:rFonts w:ascii="Tahoma" w:hAnsi="Tahoma" w:cs="Tahoma"/>
                <w:b/>
                <w:bCs/>
                <w:sz w:val="22"/>
                <w:szCs w:val="22"/>
              </w:rPr>
              <w:t>CONCLUSIONES DE LA AUDITORIA</w:t>
            </w:r>
          </w:p>
        </w:tc>
      </w:tr>
      <w:tr w:rsidR="003D2336" w:rsidRPr="00880DA6" w14:paraId="149B35AD" w14:textId="77777777" w:rsidTr="00095FA2">
        <w:trPr>
          <w:trHeight w:val="660"/>
        </w:trPr>
        <w:tc>
          <w:tcPr>
            <w:tcW w:w="9054" w:type="dxa"/>
            <w:gridSpan w:val="2"/>
            <w:hideMark/>
          </w:tcPr>
          <w:p w14:paraId="3717EC87" w14:textId="77777777" w:rsidR="003D2336" w:rsidRDefault="003D2336" w:rsidP="003D2336">
            <w:pPr>
              <w:jc w:val="both"/>
              <w:rPr>
                <w:rFonts w:ascii="Tahoma" w:hAnsi="Tahoma" w:cs="Tahoma"/>
                <w:bCs/>
                <w:sz w:val="22"/>
                <w:szCs w:val="22"/>
              </w:rPr>
            </w:pPr>
            <w:r>
              <w:rPr>
                <w:rFonts w:ascii="Tahoma" w:hAnsi="Tahoma" w:cs="Tahoma"/>
                <w:bCs/>
                <w:sz w:val="22"/>
                <w:szCs w:val="22"/>
              </w:rPr>
              <w:t>El proceso de construcción del Plan Anticorrupción y de Atención al Ciudadano y Código de Buen Gobierno 2016, se llevó a cabo bajo el liderazgo de la Secretaría de Planeación Municipal, apoyado por la Secretaría de Servicios Administrativos y la Unidad de Divulgación y Prensa.</w:t>
            </w:r>
          </w:p>
          <w:p w14:paraId="5A3B78C2" w14:textId="77777777" w:rsidR="003D2336" w:rsidRDefault="003D2336" w:rsidP="003D2336">
            <w:pPr>
              <w:jc w:val="both"/>
              <w:rPr>
                <w:rFonts w:ascii="Tahoma" w:hAnsi="Tahoma" w:cs="Tahoma"/>
                <w:bCs/>
                <w:sz w:val="22"/>
                <w:szCs w:val="22"/>
              </w:rPr>
            </w:pPr>
            <w:r>
              <w:rPr>
                <w:rFonts w:ascii="Tahoma" w:hAnsi="Tahoma" w:cs="Tahoma"/>
                <w:bCs/>
                <w:sz w:val="22"/>
                <w:szCs w:val="22"/>
              </w:rPr>
              <w:lastRenderedPageBreak/>
              <w:t>Para su elaboración se tuvo en cuenta acciones preliminares, aspectos generales y componentes definidos en el documento Estrategias para la Construcción del Plan Anticorrupción y Atención al Ciudadano Versión 2, 2015, de la Presidencia de la República, e igualmente, involucró a servidores públicos, de quienes se recibieron sugerencias y algunas fueron tenidas en cuenta e incluidas dentro del Plan Anticorrupción.</w:t>
            </w:r>
          </w:p>
          <w:p w14:paraId="36949B05" w14:textId="77777777" w:rsidR="003D2336" w:rsidRDefault="003D2336" w:rsidP="003D2336">
            <w:pPr>
              <w:jc w:val="both"/>
              <w:rPr>
                <w:rFonts w:ascii="Tahoma" w:hAnsi="Tahoma" w:cs="Tahoma"/>
                <w:bCs/>
                <w:sz w:val="22"/>
                <w:szCs w:val="22"/>
              </w:rPr>
            </w:pPr>
          </w:p>
          <w:p w14:paraId="7E0BE1E9" w14:textId="77777777" w:rsidR="003D2336" w:rsidRDefault="003D2336" w:rsidP="003D2336">
            <w:pPr>
              <w:jc w:val="both"/>
              <w:rPr>
                <w:rFonts w:ascii="Tahoma" w:hAnsi="Tahoma" w:cs="Tahoma"/>
                <w:bCs/>
                <w:sz w:val="22"/>
                <w:szCs w:val="22"/>
              </w:rPr>
            </w:pPr>
            <w:r>
              <w:rPr>
                <w:rFonts w:ascii="Tahoma" w:hAnsi="Tahoma" w:cs="Tahoma"/>
                <w:bCs/>
                <w:sz w:val="22"/>
                <w:szCs w:val="22"/>
              </w:rPr>
              <w:t xml:space="preserve">El Plan Anticorrupción y Atención al Ciudadano y Código de Buen Gobierno, fue adoptado mediante el Decreto No. 0164 del 30 de marzo de 2016, y publicado en la página web </w:t>
            </w:r>
            <w:hyperlink r:id="rId9" w:history="1">
              <w:r w:rsidRPr="00B711FF">
                <w:rPr>
                  <w:rStyle w:val="Hipervnculo"/>
                  <w:rFonts w:ascii="Tahoma" w:hAnsi="Tahoma" w:cs="Tahoma"/>
                  <w:bCs/>
                  <w:sz w:val="22"/>
                  <w:szCs w:val="22"/>
                </w:rPr>
                <w:t>www.manizales.gov.co</w:t>
              </w:r>
            </w:hyperlink>
            <w:r>
              <w:rPr>
                <w:rFonts w:ascii="Tahoma" w:hAnsi="Tahoma" w:cs="Tahoma"/>
                <w:bCs/>
                <w:sz w:val="22"/>
                <w:szCs w:val="22"/>
              </w:rPr>
              <w:t xml:space="preserve">, el día 4 de abril de 2016 definitivo, además fue promocionado y divulgado al interior de la Entidad mediante el correo institucional. </w:t>
            </w:r>
          </w:p>
          <w:p w14:paraId="28E69258" w14:textId="77777777" w:rsidR="003D2336" w:rsidRDefault="003D2336" w:rsidP="003D2336">
            <w:pPr>
              <w:jc w:val="both"/>
              <w:rPr>
                <w:rFonts w:ascii="Tahoma" w:hAnsi="Tahoma" w:cs="Tahoma"/>
                <w:bCs/>
                <w:sz w:val="22"/>
                <w:szCs w:val="22"/>
              </w:rPr>
            </w:pPr>
          </w:p>
          <w:p w14:paraId="0620356F" w14:textId="51B1084E" w:rsidR="003D2336" w:rsidRDefault="003D2336" w:rsidP="003D2336">
            <w:pPr>
              <w:pStyle w:val="Prrafodelista"/>
              <w:ind w:left="0"/>
              <w:jc w:val="both"/>
              <w:rPr>
                <w:rFonts w:ascii="Tahoma" w:hAnsi="Tahoma" w:cs="Tahoma"/>
                <w:bCs/>
                <w:sz w:val="22"/>
                <w:szCs w:val="22"/>
              </w:rPr>
            </w:pPr>
            <w:r>
              <w:rPr>
                <w:rFonts w:ascii="Tahoma" w:hAnsi="Tahoma" w:cs="Tahoma"/>
                <w:bCs/>
                <w:sz w:val="22"/>
                <w:szCs w:val="22"/>
              </w:rPr>
              <w:t xml:space="preserve">El Plan Anticorrupción y Atención al Ciudadano integra los seis (6) componentes que establece el documento Estrategias para la Construcción del Plan Anticorrupción y Atención al Ciudadano Versión 2- 2015, correspondientes a: Gestión del Riesgo de Corrupción – Mapa de Riesgos de Corrupción, Racionalización de Trámites, Rendición de Cuentas,  Mecanismos para Mejorar la Atención al Ciudadano, Mecanismos para la Transparencia y Acceso a la Información e Iniciativas Adicionales, los cuales establecen los respectivos cronogramas, </w:t>
            </w:r>
            <w:r w:rsidR="009C1DC3">
              <w:rPr>
                <w:rFonts w:ascii="Tahoma" w:hAnsi="Tahoma" w:cs="Tahoma"/>
                <w:bCs/>
                <w:sz w:val="22"/>
                <w:szCs w:val="22"/>
              </w:rPr>
              <w:t>definiendo</w:t>
            </w:r>
            <w:r>
              <w:rPr>
                <w:rFonts w:ascii="Tahoma" w:hAnsi="Tahoma" w:cs="Tahoma"/>
                <w:bCs/>
                <w:sz w:val="22"/>
                <w:szCs w:val="22"/>
              </w:rPr>
              <w:t xml:space="preserve"> Actividades, Meta o Producto, Responsable, Fecha de Inicio y Fecha de Terminación.</w:t>
            </w:r>
          </w:p>
          <w:p w14:paraId="5993C28B" w14:textId="3BA20E61" w:rsidR="003D2336" w:rsidRPr="003D2336" w:rsidRDefault="003D2336" w:rsidP="001764D1">
            <w:pPr>
              <w:pStyle w:val="Prrafodelista"/>
              <w:ind w:left="1070"/>
              <w:jc w:val="both"/>
              <w:rPr>
                <w:rFonts w:ascii="Tahoma" w:hAnsi="Tahoma" w:cs="Tahoma"/>
                <w:b/>
                <w:bCs/>
                <w:sz w:val="22"/>
                <w:szCs w:val="22"/>
              </w:rPr>
            </w:pPr>
          </w:p>
        </w:tc>
      </w:tr>
      <w:tr w:rsidR="001764D1" w:rsidRPr="00880DA6" w14:paraId="7E22E27B" w14:textId="77777777" w:rsidTr="00095FA2">
        <w:trPr>
          <w:trHeight w:val="660"/>
        </w:trPr>
        <w:tc>
          <w:tcPr>
            <w:tcW w:w="9054" w:type="dxa"/>
            <w:gridSpan w:val="2"/>
          </w:tcPr>
          <w:p w14:paraId="05BE5A26" w14:textId="77777777" w:rsidR="001764D1" w:rsidRDefault="001764D1" w:rsidP="009C1DC3">
            <w:pPr>
              <w:pStyle w:val="Prrafodelista"/>
              <w:ind w:left="450" w:hanging="450"/>
              <w:jc w:val="both"/>
              <w:rPr>
                <w:rFonts w:ascii="Tahoma" w:hAnsi="Tahoma" w:cs="Tahoma"/>
                <w:b/>
                <w:bCs/>
                <w:sz w:val="22"/>
                <w:szCs w:val="22"/>
              </w:rPr>
            </w:pPr>
            <w:r w:rsidRPr="003D2336">
              <w:rPr>
                <w:rFonts w:ascii="Tahoma" w:hAnsi="Tahoma" w:cs="Tahoma"/>
                <w:b/>
                <w:bCs/>
                <w:sz w:val="22"/>
                <w:szCs w:val="22"/>
              </w:rPr>
              <w:lastRenderedPageBreak/>
              <w:t>6.1</w:t>
            </w:r>
            <w:r>
              <w:rPr>
                <w:rFonts w:ascii="Tahoma" w:hAnsi="Tahoma" w:cs="Tahoma"/>
                <w:b/>
                <w:bCs/>
                <w:sz w:val="22"/>
                <w:szCs w:val="22"/>
              </w:rPr>
              <w:t xml:space="preserve"> </w:t>
            </w:r>
            <w:r w:rsidRPr="00F56C63">
              <w:rPr>
                <w:rFonts w:ascii="Tahoma" w:hAnsi="Tahoma" w:cs="Tahoma"/>
                <w:b/>
                <w:bCs/>
                <w:sz w:val="22"/>
                <w:szCs w:val="22"/>
              </w:rPr>
              <w:t>COMPONENTE</w:t>
            </w:r>
            <w:r>
              <w:rPr>
                <w:rFonts w:ascii="Tahoma" w:hAnsi="Tahoma" w:cs="Tahoma"/>
                <w:b/>
                <w:bCs/>
                <w:sz w:val="22"/>
                <w:szCs w:val="22"/>
              </w:rPr>
              <w:t xml:space="preserve"> </w:t>
            </w:r>
            <w:r w:rsidRPr="00F56C63">
              <w:rPr>
                <w:rFonts w:ascii="Tahoma" w:hAnsi="Tahoma" w:cs="Tahoma"/>
                <w:b/>
                <w:bCs/>
                <w:sz w:val="22"/>
                <w:szCs w:val="22"/>
              </w:rPr>
              <w:t>GESTIÓN DEL RIESGO DE CORRUPCIÓN - MAPA DE RIESGOS DE CORRUPCIÓN</w:t>
            </w:r>
          </w:p>
          <w:p w14:paraId="23AB2C02" w14:textId="77777777" w:rsidR="001764D1" w:rsidRPr="009C1DC3" w:rsidRDefault="001764D1" w:rsidP="001764D1">
            <w:pPr>
              <w:pStyle w:val="Prrafodelista"/>
              <w:ind w:left="0"/>
              <w:jc w:val="both"/>
              <w:rPr>
                <w:rFonts w:ascii="Tahoma" w:hAnsi="Tahoma" w:cs="Tahoma"/>
                <w:b/>
                <w:bCs/>
                <w:sz w:val="12"/>
                <w:szCs w:val="12"/>
              </w:rPr>
            </w:pPr>
          </w:p>
          <w:p w14:paraId="16CB0DB9" w14:textId="5B7D4B1D" w:rsidR="001764D1" w:rsidRPr="001D4E81" w:rsidRDefault="001764D1" w:rsidP="001764D1">
            <w:pPr>
              <w:jc w:val="both"/>
              <w:rPr>
                <w:rFonts w:ascii="Tahoma" w:hAnsi="Tahoma" w:cs="Tahoma"/>
                <w:bCs/>
                <w:sz w:val="22"/>
                <w:szCs w:val="22"/>
              </w:rPr>
            </w:pPr>
            <w:r w:rsidRPr="00EC169B">
              <w:rPr>
                <w:rFonts w:ascii="Tahoma" w:hAnsi="Tahoma" w:cs="Tahoma"/>
                <w:b/>
                <w:bCs/>
                <w:sz w:val="22"/>
                <w:szCs w:val="22"/>
              </w:rPr>
              <w:t>Subcomponente 1</w:t>
            </w:r>
            <w:r>
              <w:rPr>
                <w:rFonts w:ascii="Tahoma" w:hAnsi="Tahoma" w:cs="Tahoma"/>
                <w:b/>
                <w:bCs/>
                <w:sz w:val="22"/>
                <w:szCs w:val="22"/>
              </w:rPr>
              <w:t xml:space="preserve">: </w:t>
            </w:r>
            <w:r w:rsidRPr="00EC169B">
              <w:rPr>
                <w:rFonts w:ascii="Tahoma" w:hAnsi="Tahoma" w:cs="Tahoma"/>
                <w:b/>
                <w:bCs/>
                <w:sz w:val="22"/>
                <w:szCs w:val="22"/>
              </w:rPr>
              <w:t>POLÍTICA DE ADMINISTRACIÓN DE RIESGOS</w:t>
            </w:r>
            <w:r>
              <w:rPr>
                <w:rFonts w:ascii="Tahoma" w:hAnsi="Tahoma" w:cs="Tahoma"/>
                <w:b/>
                <w:bCs/>
                <w:sz w:val="22"/>
                <w:szCs w:val="22"/>
              </w:rPr>
              <w:t xml:space="preserve">: </w:t>
            </w:r>
            <w:r w:rsidRPr="004139D8">
              <w:rPr>
                <w:rFonts w:ascii="Tahoma" w:hAnsi="Tahoma" w:cs="Tahoma"/>
                <w:bCs/>
                <w:sz w:val="22"/>
                <w:szCs w:val="22"/>
              </w:rPr>
              <w:t xml:space="preserve">Los responsables </w:t>
            </w:r>
            <w:r w:rsidR="004139D8" w:rsidRPr="004139D8">
              <w:rPr>
                <w:rFonts w:ascii="Tahoma" w:hAnsi="Tahoma" w:cs="Tahoma"/>
                <w:bCs/>
                <w:sz w:val="22"/>
                <w:szCs w:val="22"/>
              </w:rPr>
              <w:t>(Sistema de Gestión Integral de Calidad)</w:t>
            </w:r>
            <w:r w:rsidR="00480657">
              <w:rPr>
                <w:rFonts w:ascii="Tahoma" w:hAnsi="Tahoma" w:cs="Tahoma"/>
                <w:bCs/>
                <w:sz w:val="22"/>
                <w:szCs w:val="22"/>
              </w:rPr>
              <w:t xml:space="preserve"> </w:t>
            </w:r>
            <w:r w:rsidRPr="004139D8">
              <w:rPr>
                <w:rFonts w:ascii="Tahoma" w:hAnsi="Tahoma" w:cs="Tahoma"/>
                <w:bCs/>
                <w:sz w:val="22"/>
                <w:szCs w:val="22"/>
              </w:rPr>
              <w:t xml:space="preserve">de este subcomponente, llevaron a cabo la revisión de la política de </w:t>
            </w:r>
            <w:r w:rsidRPr="004139D8">
              <w:rPr>
                <w:rFonts w:ascii="Tahoma" w:hAnsi="Tahoma" w:cs="Tahoma"/>
                <w:b/>
                <w:bCs/>
                <w:sz w:val="22"/>
                <w:szCs w:val="22"/>
              </w:rPr>
              <w:t xml:space="preserve"> </w:t>
            </w:r>
            <w:r w:rsidRPr="004139D8">
              <w:rPr>
                <w:rFonts w:ascii="Tahoma" w:hAnsi="Tahoma" w:cs="Tahoma"/>
                <w:bCs/>
                <w:sz w:val="22"/>
                <w:szCs w:val="22"/>
              </w:rPr>
              <w:t>administración del riesgo vigente en la Alcaldía de Manizales</w:t>
            </w:r>
            <w:r w:rsidR="00480657">
              <w:rPr>
                <w:rFonts w:ascii="Tahoma" w:hAnsi="Tahoma" w:cs="Tahoma"/>
                <w:bCs/>
                <w:sz w:val="22"/>
                <w:szCs w:val="22"/>
              </w:rPr>
              <w:t xml:space="preserve"> a la luz de la “Guía para la Gestión del Riesgo de Corrupción de la Presidencia de la República versión 2015”</w:t>
            </w:r>
            <w:r w:rsidRPr="004139D8">
              <w:rPr>
                <w:rFonts w:ascii="Tahoma" w:hAnsi="Tahoma" w:cs="Tahoma"/>
                <w:bCs/>
                <w:sz w:val="22"/>
                <w:szCs w:val="22"/>
              </w:rPr>
              <w:t>, determinando que no era necesario rea</w:t>
            </w:r>
            <w:r w:rsidR="00C97DEA">
              <w:rPr>
                <w:rFonts w:ascii="Tahoma" w:hAnsi="Tahoma" w:cs="Tahoma"/>
                <w:bCs/>
                <w:sz w:val="22"/>
                <w:szCs w:val="22"/>
              </w:rPr>
              <w:t>lizar modificaciones a la fecha.</w:t>
            </w:r>
            <w:r w:rsidRPr="004139D8">
              <w:rPr>
                <w:rFonts w:ascii="Tahoma" w:hAnsi="Tahoma" w:cs="Tahoma"/>
                <w:bCs/>
                <w:sz w:val="22"/>
                <w:szCs w:val="22"/>
              </w:rPr>
              <w:t xml:space="preserve"> </w:t>
            </w:r>
            <w:r w:rsidR="00C97DEA">
              <w:rPr>
                <w:rFonts w:ascii="Tahoma" w:hAnsi="Tahoma" w:cs="Tahoma"/>
                <w:bCs/>
                <w:sz w:val="22"/>
                <w:szCs w:val="22"/>
              </w:rPr>
              <w:t>Sin emb</w:t>
            </w:r>
            <w:r w:rsidR="004139D8" w:rsidRPr="004139D8">
              <w:rPr>
                <w:rFonts w:ascii="Tahoma" w:hAnsi="Tahoma" w:cs="Tahoma"/>
                <w:bCs/>
                <w:sz w:val="22"/>
                <w:szCs w:val="22"/>
              </w:rPr>
              <w:t>a</w:t>
            </w:r>
            <w:r w:rsidR="00C97DEA">
              <w:rPr>
                <w:rFonts w:ascii="Tahoma" w:hAnsi="Tahoma" w:cs="Tahoma"/>
                <w:bCs/>
                <w:sz w:val="22"/>
                <w:szCs w:val="22"/>
              </w:rPr>
              <w:t>r</w:t>
            </w:r>
            <w:r w:rsidR="004139D8" w:rsidRPr="004139D8">
              <w:rPr>
                <w:rFonts w:ascii="Tahoma" w:hAnsi="Tahoma" w:cs="Tahoma"/>
                <w:bCs/>
                <w:sz w:val="22"/>
                <w:szCs w:val="22"/>
              </w:rPr>
              <w:t>go</w:t>
            </w:r>
            <w:r w:rsidR="00C97DEA">
              <w:rPr>
                <w:rFonts w:ascii="Tahoma" w:hAnsi="Tahoma" w:cs="Tahoma"/>
                <w:bCs/>
                <w:sz w:val="22"/>
                <w:szCs w:val="22"/>
              </w:rPr>
              <w:t>,</w:t>
            </w:r>
            <w:r w:rsidR="004139D8" w:rsidRPr="004139D8">
              <w:rPr>
                <w:rFonts w:ascii="Tahoma" w:hAnsi="Tahoma" w:cs="Tahoma"/>
                <w:bCs/>
                <w:sz w:val="22"/>
                <w:szCs w:val="22"/>
              </w:rPr>
              <w:t xml:space="preserve"> ésta decisión no fue validada por el Comité Coordinador de Control Interno, </w:t>
            </w:r>
            <w:r w:rsidRPr="004139D8">
              <w:rPr>
                <w:rFonts w:ascii="Tahoma" w:hAnsi="Tahoma" w:cs="Tahoma"/>
                <w:bCs/>
                <w:sz w:val="22"/>
                <w:szCs w:val="22"/>
              </w:rPr>
              <w:t xml:space="preserve"> este subcomponente queda con una valoración del </w:t>
            </w:r>
            <w:r w:rsidR="004139D8" w:rsidRPr="004139D8">
              <w:rPr>
                <w:rFonts w:ascii="Tahoma" w:hAnsi="Tahoma" w:cs="Tahoma"/>
                <w:b/>
                <w:bCs/>
                <w:sz w:val="22"/>
                <w:szCs w:val="22"/>
              </w:rPr>
              <w:t>0</w:t>
            </w:r>
            <w:r w:rsidRPr="004139D8">
              <w:rPr>
                <w:rFonts w:ascii="Tahoma" w:hAnsi="Tahoma" w:cs="Tahoma"/>
                <w:b/>
                <w:bCs/>
                <w:sz w:val="22"/>
                <w:szCs w:val="22"/>
              </w:rPr>
              <w:t>%</w:t>
            </w:r>
            <w:r w:rsidRPr="004139D8">
              <w:rPr>
                <w:rFonts w:ascii="Tahoma" w:hAnsi="Tahoma" w:cs="Tahoma"/>
                <w:bCs/>
                <w:sz w:val="22"/>
                <w:szCs w:val="22"/>
              </w:rPr>
              <w:t>.</w:t>
            </w:r>
            <w:r w:rsidRPr="001D4E81">
              <w:rPr>
                <w:rFonts w:ascii="Tahoma" w:hAnsi="Tahoma" w:cs="Tahoma"/>
                <w:bCs/>
                <w:sz w:val="22"/>
                <w:szCs w:val="22"/>
              </w:rPr>
              <w:t xml:space="preserve"> </w:t>
            </w:r>
          </w:p>
          <w:p w14:paraId="06DA2A08" w14:textId="77777777" w:rsidR="001764D1" w:rsidRPr="009C1DC3" w:rsidRDefault="001764D1" w:rsidP="001764D1">
            <w:pPr>
              <w:jc w:val="both"/>
              <w:rPr>
                <w:rFonts w:ascii="Tahoma" w:hAnsi="Tahoma" w:cs="Tahoma"/>
                <w:b/>
                <w:bCs/>
                <w:sz w:val="12"/>
                <w:szCs w:val="12"/>
              </w:rPr>
            </w:pPr>
          </w:p>
          <w:p w14:paraId="24E4E2CA" w14:textId="77777777" w:rsidR="00AF0F28" w:rsidRDefault="001764D1" w:rsidP="001764D1">
            <w:pPr>
              <w:jc w:val="both"/>
              <w:rPr>
                <w:rFonts w:ascii="Tahoma" w:hAnsi="Tahoma" w:cs="Tahoma"/>
                <w:bCs/>
                <w:sz w:val="22"/>
                <w:szCs w:val="22"/>
              </w:rPr>
            </w:pPr>
            <w:r w:rsidRPr="00EC169B">
              <w:rPr>
                <w:rFonts w:ascii="Tahoma" w:hAnsi="Tahoma" w:cs="Tahoma"/>
                <w:b/>
                <w:bCs/>
                <w:sz w:val="22"/>
                <w:szCs w:val="22"/>
              </w:rPr>
              <w:t>Subcomponente 2</w:t>
            </w:r>
            <w:r>
              <w:rPr>
                <w:rFonts w:ascii="Tahoma" w:hAnsi="Tahoma" w:cs="Tahoma"/>
                <w:b/>
                <w:bCs/>
                <w:sz w:val="22"/>
                <w:szCs w:val="22"/>
              </w:rPr>
              <w:t xml:space="preserve">: </w:t>
            </w:r>
            <w:r w:rsidRPr="00EC169B">
              <w:rPr>
                <w:rFonts w:ascii="Tahoma" w:hAnsi="Tahoma" w:cs="Tahoma"/>
                <w:b/>
                <w:bCs/>
                <w:sz w:val="22"/>
                <w:szCs w:val="22"/>
              </w:rPr>
              <w:t>CONSTRUCCIÓN DE</w:t>
            </w:r>
            <w:r>
              <w:rPr>
                <w:rFonts w:ascii="Tahoma" w:hAnsi="Tahoma" w:cs="Tahoma"/>
                <w:b/>
                <w:bCs/>
                <w:sz w:val="22"/>
                <w:szCs w:val="22"/>
              </w:rPr>
              <w:t xml:space="preserve">L MAPA DE RIESGOS DE CORRUPCIÓN:  </w:t>
            </w:r>
            <w:r w:rsidRPr="006E74A1">
              <w:rPr>
                <w:rFonts w:ascii="Tahoma" w:hAnsi="Tahoma" w:cs="Tahoma"/>
                <w:bCs/>
                <w:sz w:val="22"/>
                <w:szCs w:val="22"/>
              </w:rPr>
              <w:t>Se llevó a cabo la revisión del mapa de riesgos de corrupción vigente al 31 de diciembre de 2015,</w:t>
            </w:r>
            <w:r>
              <w:rPr>
                <w:rFonts w:ascii="Tahoma" w:hAnsi="Tahoma" w:cs="Tahoma"/>
                <w:b/>
                <w:bCs/>
                <w:sz w:val="22"/>
                <w:szCs w:val="22"/>
              </w:rPr>
              <w:t xml:space="preserve"> </w:t>
            </w:r>
            <w:r w:rsidRPr="006E74A1">
              <w:rPr>
                <w:rFonts w:ascii="Tahoma" w:hAnsi="Tahoma" w:cs="Tahoma"/>
                <w:bCs/>
                <w:sz w:val="22"/>
                <w:szCs w:val="22"/>
              </w:rPr>
              <w:t xml:space="preserve">concluyendo que </w:t>
            </w:r>
            <w:r>
              <w:rPr>
                <w:rFonts w:ascii="Tahoma" w:hAnsi="Tahoma" w:cs="Tahoma"/>
                <w:bCs/>
                <w:sz w:val="22"/>
                <w:szCs w:val="22"/>
              </w:rPr>
              <w:t>no era necesario identificar nuevos procesos que originaran prácticas corruptas, motivo por el cual continúan los mismos procesos</w:t>
            </w:r>
            <w:r w:rsidR="005B04C2">
              <w:rPr>
                <w:rFonts w:ascii="Tahoma" w:hAnsi="Tahoma" w:cs="Tahoma"/>
                <w:bCs/>
                <w:sz w:val="22"/>
                <w:szCs w:val="22"/>
              </w:rPr>
              <w:t>, sin embargo no se evidencian actas de reunión con los líderes de los procesos que evidencie ésta actividad</w:t>
            </w:r>
            <w:r>
              <w:rPr>
                <w:rFonts w:ascii="Tahoma" w:hAnsi="Tahoma" w:cs="Tahoma"/>
                <w:bCs/>
                <w:sz w:val="22"/>
                <w:szCs w:val="22"/>
              </w:rPr>
              <w:t xml:space="preserve">.  </w:t>
            </w:r>
          </w:p>
          <w:p w14:paraId="7A8B34BE" w14:textId="7BDD370C" w:rsidR="001764D1" w:rsidRDefault="001764D1" w:rsidP="001764D1">
            <w:pPr>
              <w:jc w:val="both"/>
              <w:rPr>
                <w:rFonts w:ascii="Tahoma" w:hAnsi="Tahoma" w:cs="Tahoma"/>
                <w:bCs/>
                <w:sz w:val="22"/>
                <w:szCs w:val="22"/>
              </w:rPr>
            </w:pPr>
            <w:r>
              <w:rPr>
                <w:rFonts w:ascii="Tahoma" w:hAnsi="Tahoma" w:cs="Tahoma"/>
                <w:bCs/>
                <w:sz w:val="22"/>
                <w:szCs w:val="22"/>
              </w:rPr>
              <w:lastRenderedPageBreak/>
              <w:t xml:space="preserve">Así mismo, se constató que falta describir objetivos y alcance en 2 de los 8 procesos que hacen parte del mapa de riesgos, los cuales corresponden a “Talento Humano”, al que le falta definir alcance y “Grupos Poblacionales” que requiere establecer objetivo y alcance. </w:t>
            </w:r>
          </w:p>
          <w:p w14:paraId="497353EF" w14:textId="77777777" w:rsidR="001764D1" w:rsidRPr="009C1DC3" w:rsidRDefault="001764D1" w:rsidP="001764D1">
            <w:pPr>
              <w:jc w:val="both"/>
              <w:rPr>
                <w:rFonts w:ascii="Tahoma" w:hAnsi="Tahoma" w:cs="Tahoma"/>
                <w:bCs/>
                <w:sz w:val="12"/>
                <w:szCs w:val="12"/>
              </w:rPr>
            </w:pPr>
          </w:p>
          <w:p w14:paraId="6867DBDA" w14:textId="1AEAF095" w:rsidR="001764D1" w:rsidRPr="006E74A1" w:rsidRDefault="001764D1" w:rsidP="001764D1">
            <w:pPr>
              <w:jc w:val="both"/>
              <w:rPr>
                <w:rFonts w:ascii="Tahoma" w:hAnsi="Tahoma" w:cs="Tahoma"/>
                <w:bCs/>
                <w:sz w:val="22"/>
                <w:szCs w:val="22"/>
              </w:rPr>
            </w:pPr>
            <w:r>
              <w:rPr>
                <w:rFonts w:ascii="Tahoma" w:hAnsi="Tahoma" w:cs="Tahoma"/>
                <w:bCs/>
                <w:sz w:val="22"/>
                <w:szCs w:val="22"/>
              </w:rPr>
              <w:t xml:space="preserve">Igualmente, se evidencia que de los 17 riesgos de corrupción establecidos en el mapa de riesgos para la vigencia 2015, se retiraron 3 riesgos correspondientes a: “Pérdida de documentos custodiados en la Urna de Cristal”,  “Estacionalidad de Fondos” y “Asignar recursos a la desagregación del plan de Desarrollo en la elaboración del POAI, financiando proyectos de inversión que no corresponden”, los cuales quedaron definidos como riesgos Estratégicos, quedando compuesto por 14 riesgos el mapa de corrupción para la vigencia 2016.  Este subcomponente presenta un avance del </w:t>
            </w:r>
            <w:r w:rsidRPr="00FC7D02">
              <w:rPr>
                <w:rFonts w:ascii="Tahoma" w:hAnsi="Tahoma" w:cs="Tahoma"/>
                <w:b/>
                <w:bCs/>
                <w:sz w:val="22"/>
                <w:szCs w:val="22"/>
              </w:rPr>
              <w:t>67.8%,</w:t>
            </w:r>
            <w:r w:rsidR="00AF0F28">
              <w:rPr>
                <w:rFonts w:ascii="Tahoma" w:hAnsi="Tahoma" w:cs="Tahoma"/>
                <w:b/>
                <w:bCs/>
                <w:sz w:val="22"/>
                <w:szCs w:val="22"/>
              </w:rPr>
              <w:t xml:space="preserve"> </w:t>
            </w:r>
            <w:r>
              <w:rPr>
                <w:rFonts w:ascii="Tahoma" w:hAnsi="Tahoma" w:cs="Tahoma"/>
                <w:bCs/>
                <w:sz w:val="22"/>
                <w:szCs w:val="22"/>
              </w:rPr>
              <w:t xml:space="preserve">toda vez que se observan 2 actividades sin avance a la fecha, como son el análisis y la evaluación del riesgo de corrupción.  </w:t>
            </w:r>
          </w:p>
          <w:p w14:paraId="736A26D7" w14:textId="77777777" w:rsidR="001764D1" w:rsidRPr="009C1DC3" w:rsidRDefault="001764D1" w:rsidP="001764D1">
            <w:pPr>
              <w:jc w:val="both"/>
              <w:rPr>
                <w:rFonts w:ascii="Tahoma" w:hAnsi="Tahoma" w:cs="Tahoma"/>
                <w:b/>
                <w:bCs/>
                <w:sz w:val="12"/>
                <w:szCs w:val="12"/>
              </w:rPr>
            </w:pPr>
          </w:p>
          <w:p w14:paraId="4A60EE7B" w14:textId="77777777" w:rsidR="001764D1" w:rsidRPr="00E402D0" w:rsidRDefault="001764D1" w:rsidP="001764D1">
            <w:pPr>
              <w:jc w:val="both"/>
              <w:rPr>
                <w:rFonts w:ascii="Tahoma" w:hAnsi="Tahoma" w:cs="Tahoma"/>
                <w:bCs/>
                <w:sz w:val="22"/>
                <w:szCs w:val="22"/>
              </w:rPr>
            </w:pPr>
            <w:r w:rsidRPr="00EC169B">
              <w:rPr>
                <w:rFonts w:ascii="Tahoma" w:hAnsi="Tahoma" w:cs="Tahoma"/>
                <w:b/>
                <w:bCs/>
                <w:sz w:val="22"/>
                <w:szCs w:val="22"/>
              </w:rPr>
              <w:t>Subcomponente 3</w:t>
            </w:r>
            <w:r>
              <w:rPr>
                <w:rFonts w:ascii="Tahoma" w:hAnsi="Tahoma" w:cs="Tahoma"/>
                <w:b/>
                <w:bCs/>
                <w:sz w:val="22"/>
                <w:szCs w:val="22"/>
              </w:rPr>
              <w:t xml:space="preserve">: </w:t>
            </w:r>
            <w:r w:rsidRPr="00EC169B">
              <w:rPr>
                <w:rFonts w:ascii="Tahoma" w:hAnsi="Tahoma" w:cs="Tahoma"/>
                <w:b/>
                <w:bCs/>
                <w:sz w:val="22"/>
                <w:szCs w:val="22"/>
              </w:rPr>
              <w:t>CONSULTA Y DIVULGACIÓN</w:t>
            </w:r>
            <w:r>
              <w:rPr>
                <w:rFonts w:ascii="Tahoma" w:hAnsi="Tahoma" w:cs="Tahoma"/>
                <w:b/>
                <w:bCs/>
                <w:sz w:val="22"/>
                <w:szCs w:val="22"/>
              </w:rPr>
              <w:t xml:space="preserve">: </w:t>
            </w:r>
            <w:r>
              <w:rPr>
                <w:rFonts w:ascii="Tahoma" w:hAnsi="Tahoma" w:cs="Tahoma"/>
                <w:bCs/>
                <w:sz w:val="22"/>
                <w:szCs w:val="22"/>
              </w:rPr>
              <w:t xml:space="preserve">A la fecha de la presente auditoría no se evidencia avances en las actividades de este subcomponente, toda vez que no se llevó a cabo la realización de la construcción del mapa de riesgos, ni la publicación en la página web de la Alcaldía, para una valoración del </w:t>
            </w:r>
            <w:r w:rsidRPr="00FC7D02">
              <w:rPr>
                <w:rFonts w:ascii="Tahoma" w:hAnsi="Tahoma" w:cs="Tahoma"/>
                <w:b/>
                <w:bCs/>
                <w:sz w:val="22"/>
                <w:szCs w:val="22"/>
              </w:rPr>
              <w:t>0%.</w:t>
            </w:r>
          </w:p>
          <w:p w14:paraId="03A9BF93" w14:textId="77777777" w:rsidR="001764D1" w:rsidRPr="009C1DC3" w:rsidRDefault="001764D1" w:rsidP="001764D1">
            <w:pPr>
              <w:jc w:val="both"/>
              <w:rPr>
                <w:rFonts w:ascii="Tahoma" w:hAnsi="Tahoma" w:cs="Tahoma"/>
                <w:b/>
                <w:bCs/>
                <w:sz w:val="12"/>
                <w:szCs w:val="12"/>
              </w:rPr>
            </w:pPr>
          </w:p>
          <w:p w14:paraId="22272A8B" w14:textId="77777777" w:rsidR="001764D1" w:rsidRPr="0080645B" w:rsidRDefault="001764D1" w:rsidP="001764D1">
            <w:pPr>
              <w:jc w:val="both"/>
              <w:rPr>
                <w:rFonts w:ascii="Tahoma" w:hAnsi="Tahoma" w:cs="Tahoma"/>
                <w:bCs/>
                <w:sz w:val="22"/>
                <w:szCs w:val="22"/>
              </w:rPr>
            </w:pPr>
            <w:r w:rsidRPr="00EC169B">
              <w:rPr>
                <w:rFonts w:ascii="Tahoma" w:hAnsi="Tahoma" w:cs="Tahoma"/>
                <w:b/>
                <w:bCs/>
                <w:sz w:val="22"/>
                <w:szCs w:val="22"/>
              </w:rPr>
              <w:t>Subcomponente 4</w:t>
            </w:r>
            <w:r>
              <w:rPr>
                <w:rFonts w:ascii="Tahoma" w:hAnsi="Tahoma" w:cs="Tahoma"/>
                <w:b/>
                <w:bCs/>
                <w:sz w:val="22"/>
                <w:szCs w:val="22"/>
              </w:rPr>
              <w:t xml:space="preserve">: </w:t>
            </w:r>
            <w:r w:rsidRPr="00EC169B">
              <w:rPr>
                <w:rFonts w:ascii="Tahoma" w:hAnsi="Tahoma" w:cs="Tahoma"/>
                <w:b/>
                <w:bCs/>
                <w:sz w:val="22"/>
                <w:szCs w:val="22"/>
              </w:rPr>
              <w:t>MONITOREO Y REVISIÓN</w:t>
            </w:r>
            <w:r>
              <w:rPr>
                <w:rFonts w:ascii="Tahoma" w:hAnsi="Tahoma" w:cs="Tahoma"/>
                <w:b/>
                <w:bCs/>
                <w:sz w:val="22"/>
                <w:szCs w:val="22"/>
              </w:rPr>
              <w:t xml:space="preserve">: </w:t>
            </w:r>
            <w:r>
              <w:rPr>
                <w:rFonts w:ascii="Tahoma" w:hAnsi="Tahoma" w:cs="Tahoma"/>
                <w:bCs/>
                <w:sz w:val="22"/>
                <w:szCs w:val="22"/>
              </w:rPr>
              <w:t xml:space="preserve">El día 16 de abril de 2016, se envió  correos electrónicos a los líderes de proceso, recordándoles que el 30 de abril de 2016 deben realizar la primera actualización a los mapas de </w:t>
            </w:r>
            <w:r w:rsidRPr="0080645B">
              <w:rPr>
                <w:rFonts w:ascii="Tahoma" w:hAnsi="Tahoma" w:cs="Tahoma"/>
                <w:bCs/>
                <w:sz w:val="22"/>
                <w:szCs w:val="22"/>
              </w:rPr>
              <w:t xml:space="preserve">riesgos, según lo establece el Decreto </w:t>
            </w:r>
            <w:r>
              <w:rPr>
                <w:rFonts w:ascii="Tahoma" w:hAnsi="Tahoma" w:cs="Tahoma"/>
                <w:bCs/>
                <w:sz w:val="22"/>
                <w:szCs w:val="22"/>
              </w:rPr>
              <w:t>01</w:t>
            </w:r>
            <w:r w:rsidRPr="0080645B">
              <w:rPr>
                <w:rFonts w:ascii="Tahoma" w:hAnsi="Tahoma" w:cs="Tahoma"/>
                <w:bCs/>
                <w:sz w:val="22"/>
                <w:szCs w:val="22"/>
              </w:rPr>
              <w:t xml:space="preserve">60 de 2014, </w:t>
            </w:r>
            <w:r>
              <w:rPr>
                <w:rFonts w:ascii="Tahoma" w:hAnsi="Tahoma" w:cs="Tahoma"/>
                <w:bCs/>
                <w:sz w:val="22"/>
                <w:szCs w:val="22"/>
              </w:rPr>
              <w:t xml:space="preserve">determinando como fecha para recibir la información, el día 29 de abril de 2016.  Así mismo, el mapa de riesgos fue ajustado en su valoración de acuerdo con los lineamientos establecidos en la Guía para la Gestión del Riesgo de Corrupción 2015 de la Presidencia de la República; y la actividad definida para realizar la publicación en la página web de la Alcaldía, no fue llevada a cabo, motivo por el cual este subcomponente presenta una valoración de cumplimiento del </w:t>
            </w:r>
            <w:r w:rsidRPr="00FC7D02">
              <w:rPr>
                <w:rFonts w:ascii="Tahoma" w:hAnsi="Tahoma" w:cs="Tahoma"/>
                <w:b/>
                <w:bCs/>
                <w:sz w:val="22"/>
                <w:szCs w:val="22"/>
              </w:rPr>
              <w:t>66.6%.</w:t>
            </w:r>
          </w:p>
          <w:p w14:paraId="5397DC8E" w14:textId="77777777" w:rsidR="001764D1" w:rsidRPr="009C1DC3" w:rsidRDefault="001764D1" w:rsidP="001764D1">
            <w:pPr>
              <w:jc w:val="both"/>
              <w:rPr>
                <w:rFonts w:ascii="Tahoma" w:hAnsi="Tahoma" w:cs="Tahoma"/>
                <w:bCs/>
                <w:sz w:val="12"/>
                <w:szCs w:val="12"/>
              </w:rPr>
            </w:pPr>
          </w:p>
          <w:p w14:paraId="3F0A0306" w14:textId="11E5BDAF" w:rsidR="001764D1" w:rsidRDefault="001764D1" w:rsidP="009C1DC3">
            <w:pPr>
              <w:jc w:val="both"/>
              <w:rPr>
                <w:rFonts w:ascii="Tahoma" w:hAnsi="Tahoma" w:cs="Tahoma"/>
                <w:bCs/>
                <w:sz w:val="22"/>
                <w:szCs w:val="22"/>
              </w:rPr>
            </w:pPr>
            <w:r w:rsidRPr="00EC169B">
              <w:rPr>
                <w:rFonts w:ascii="Tahoma" w:hAnsi="Tahoma" w:cs="Tahoma"/>
                <w:b/>
                <w:bCs/>
                <w:sz w:val="22"/>
                <w:szCs w:val="22"/>
              </w:rPr>
              <w:t>Subcomponente 5</w:t>
            </w:r>
            <w:r>
              <w:rPr>
                <w:rFonts w:ascii="Tahoma" w:hAnsi="Tahoma" w:cs="Tahoma"/>
                <w:b/>
                <w:bCs/>
                <w:sz w:val="22"/>
                <w:szCs w:val="22"/>
              </w:rPr>
              <w:t xml:space="preserve">: </w:t>
            </w:r>
            <w:r w:rsidRPr="00EC169B">
              <w:rPr>
                <w:rFonts w:ascii="Tahoma" w:hAnsi="Tahoma" w:cs="Tahoma"/>
                <w:b/>
                <w:bCs/>
                <w:sz w:val="22"/>
                <w:szCs w:val="22"/>
              </w:rPr>
              <w:t>SEGUIMIENTO</w:t>
            </w:r>
            <w:r>
              <w:rPr>
                <w:rFonts w:ascii="Tahoma" w:hAnsi="Tahoma" w:cs="Tahoma"/>
                <w:b/>
                <w:bCs/>
                <w:sz w:val="22"/>
                <w:szCs w:val="22"/>
              </w:rPr>
              <w:t xml:space="preserve">: </w:t>
            </w:r>
            <w:r w:rsidRPr="002A0D5C">
              <w:rPr>
                <w:rFonts w:ascii="Tahoma" w:hAnsi="Tahoma" w:cs="Tahoma"/>
                <w:bCs/>
                <w:sz w:val="22"/>
                <w:szCs w:val="22"/>
              </w:rPr>
              <w:t xml:space="preserve">La </w:t>
            </w:r>
            <w:r>
              <w:rPr>
                <w:rFonts w:ascii="Tahoma" w:hAnsi="Tahoma" w:cs="Tahoma"/>
                <w:bCs/>
                <w:sz w:val="22"/>
                <w:szCs w:val="22"/>
              </w:rPr>
              <w:t xml:space="preserve">Unidad de Control Interno en la presente vigencia 2016 viene realizado seguimiento a los mapas de riesgos de corrupción, mediante la modalidad de auditorías integrales, presentado a la fecha 5 seguimientos de 18 programados en el Plan de Auditorías para este año;  así mismo, mediante la modalidad auditoría especial se está revisando el mapa de riesgos de corrupción del Plan Anticorrupción y de Atención al Ciudadano 2016.  La evaluación de cumplimiento a este subcomponente, registra un avance del </w:t>
            </w:r>
            <w:r w:rsidR="009C1DC3">
              <w:rPr>
                <w:rFonts w:ascii="Tahoma" w:hAnsi="Tahoma" w:cs="Tahoma"/>
                <w:b/>
                <w:bCs/>
                <w:sz w:val="22"/>
                <w:szCs w:val="22"/>
              </w:rPr>
              <w:t xml:space="preserve">60,3%. </w:t>
            </w:r>
          </w:p>
        </w:tc>
      </w:tr>
      <w:tr w:rsidR="001764D1" w:rsidRPr="00880DA6" w14:paraId="6C54FD98" w14:textId="77777777" w:rsidTr="00095FA2">
        <w:trPr>
          <w:trHeight w:val="660"/>
        </w:trPr>
        <w:tc>
          <w:tcPr>
            <w:tcW w:w="9054" w:type="dxa"/>
            <w:gridSpan w:val="2"/>
          </w:tcPr>
          <w:p w14:paraId="04CA4933" w14:textId="77777777" w:rsidR="00325575" w:rsidRDefault="00325575" w:rsidP="009C1DC3">
            <w:pPr>
              <w:pStyle w:val="Prrafodelista"/>
              <w:ind w:left="0"/>
              <w:jc w:val="both"/>
              <w:rPr>
                <w:rFonts w:ascii="Tahoma" w:hAnsi="Tahoma" w:cs="Tahoma"/>
                <w:b/>
                <w:bCs/>
                <w:sz w:val="22"/>
                <w:szCs w:val="22"/>
              </w:rPr>
            </w:pPr>
            <w:r>
              <w:rPr>
                <w:rFonts w:ascii="Tahoma" w:hAnsi="Tahoma" w:cs="Tahoma"/>
                <w:b/>
                <w:bCs/>
                <w:sz w:val="22"/>
                <w:szCs w:val="22"/>
              </w:rPr>
              <w:lastRenderedPageBreak/>
              <w:t xml:space="preserve">6.2 </w:t>
            </w:r>
            <w:r w:rsidRPr="007D048A">
              <w:rPr>
                <w:rFonts w:ascii="Tahoma" w:hAnsi="Tahoma" w:cs="Tahoma"/>
                <w:b/>
                <w:bCs/>
                <w:sz w:val="22"/>
                <w:szCs w:val="22"/>
              </w:rPr>
              <w:t>ESTRATEGIA DE RACIONALIZACIÓN DE TRÁMITES</w:t>
            </w:r>
          </w:p>
          <w:p w14:paraId="2F5F25BA" w14:textId="77777777" w:rsidR="001764D1" w:rsidRDefault="001764D1" w:rsidP="00325575">
            <w:pPr>
              <w:pStyle w:val="Prrafodelista"/>
              <w:ind w:left="708"/>
              <w:jc w:val="both"/>
              <w:rPr>
                <w:rFonts w:ascii="Tahoma" w:hAnsi="Tahoma" w:cs="Tahoma"/>
                <w:b/>
                <w:bCs/>
                <w:sz w:val="22"/>
                <w:szCs w:val="22"/>
              </w:rPr>
            </w:pPr>
          </w:p>
          <w:p w14:paraId="70372E61" w14:textId="77777777" w:rsidR="00325575" w:rsidRPr="00606E77" w:rsidRDefault="00325575" w:rsidP="00325575">
            <w:pPr>
              <w:jc w:val="both"/>
              <w:rPr>
                <w:rFonts w:ascii="Tahoma" w:hAnsi="Tahoma" w:cs="Tahoma"/>
                <w:b/>
                <w:bCs/>
                <w:sz w:val="22"/>
                <w:szCs w:val="22"/>
              </w:rPr>
            </w:pPr>
            <w:r w:rsidRPr="00606E77">
              <w:rPr>
                <w:rFonts w:ascii="Tahoma" w:hAnsi="Tahoma" w:cs="Tahoma"/>
                <w:bCs/>
                <w:sz w:val="22"/>
                <w:szCs w:val="22"/>
              </w:rPr>
              <w:t xml:space="preserve">Los trámites y procedimientos administrativos definidos por la Alcaldía de Manizales para ser racionalizados y simplificados en el año 2016 son: </w:t>
            </w:r>
          </w:p>
          <w:p w14:paraId="0FFB28F7" w14:textId="77777777" w:rsidR="00325575" w:rsidRDefault="00325575" w:rsidP="00325575">
            <w:pPr>
              <w:jc w:val="both"/>
              <w:rPr>
                <w:rFonts w:ascii="Tahoma" w:hAnsi="Tahoma" w:cs="Tahoma"/>
                <w:b/>
                <w:bCs/>
                <w:sz w:val="22"/>
                <w:szCs w:val="22"/>
              </w:rPr>
            </w:pPr>
          </w:p>
          <w:p w14:paraId="315F4A99"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Préstamo de parques y/o escenarios deportivos para la realización de espectáculos de las artes escénicas</w:t>
            </w:r>
            <w:r>
              <w:rPr>
                <w:rFonts w:ascii="Tahoma" w:hAnsi="Tahoma" w:cs="Tahoma"/>
                <w:bCs/>
                <w:sz w:val="22"/>
                <w:szCs w:val="22"/>
              </w:rPr>
              <w:t>.</w:t>
            </w:r>
          </w:p>
          <w:p w14:paraId="2FBD9245"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Asignación de nomenclatura</w:t>
            </w:r>
            <w:r>
              <w:rPr>
                <w:rFonts w:ascii="Tahoma" w:hAnsi="Tahoma" w:cs="Tahoma"/>
                <w:bCs/>
                <w:sz w:val="22"/>
                <w:szCs w:val="22"/>
              </w:rPr>
              <w:t>.</w:t>
            </w:r>
          </w:p>
          <w:p w14:paraId="16A12DDF"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Certificado de estratificación socioeconómica</w:t>
            </w:r>
            <w:r>
              <w:rPr>
                <w:rFonts w:ascii="Tahoma" w:hAnsi="Tahoma" w:cs="Tahoma"/>
                <w:bCs/>
                <w:sz w:val="22"/>
                <w:szCs w:val="22"/>
              </w:rPr>
              <w:t>.</w:t>
            </w:r>
          </w:p>
          <w:p w14:paraId="40697E75"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Certificación de la personería jurídica y representación legal de las organizaciones comunales de primero y segundo grado</w:t>
            </w:r>
            <w:r>
              <w:rPr>
                <w:rFonts w:ascii="Tahoma" w:hAnsi="Tahoma" w:cs="Tahoma"/>
                <w:bCs/>
                <w:sz w:val="22"/>
                <w:szCs w:val="22"/>
              </w:rPr>
              <w:t>.</w:t>
            </w:r>
          </w:p>
          <w:p w14:paraId="2A251C0E"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Autorización de la ocupación vial</w:t>
            </w:r>
            <w:r>
              <w:rPr>
                <w:rFonts w:ascii="Tahoma" w:hAnsi="Tahoma" w:cs="Tahoma"/>
                <w:bCs/>
                <w:sz w:val="22"/>
                <w:szCs w:val="22"/>
              </w:rPr>
              <w:t>.</w:t>
            </w:r>
          </w:p>
          <w:p w14:paraId="6CB21ED9"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Registro de extinción de la propiedad horizontal</w:t>
            </w:r>
            <w:r>
              <w:rPr>
                <w:rFonts w:ascii="Tahoma" w:hAnsi="Tahoma" w:cs="Tahoma"/>
                <w:bCs/>
                <w:sz w:val="22"/>
                <w:szCs w:val="22"/>
              </w:rPr>
              <w:t>.</w:t>
            </w:r>
          </w:p>
          <w:p w14:paraId="08565BE7"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Certificado de existencia y representación legal de propiedad horizontal</w:t>
            </w:r>
            <w:r>
              <w:rPr>
                <w:rFonts w:ascii="Tahoma" w:hAnsi="Tahoma" w:cs="Tahoma"/>
                <w:bCs/>
                <w:sz w:val="22"/>
                <w:szCs w:val="22"/>
              </w:rPr>
              <w:t>.</w:t>
            </w:r>
          </w:p>
          <w:p w14:paraId="74106423"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Inscripción o cambio del representante legal y/o revisor fiscal de la prop</w:t>
            </w:r>
            <w:r>
              <w:rPr>
                <w:rFonts w:ascii="Tahoma" w:hAnsi="Tahoma" w:cs="Tahoma"/>
                <w:bCs/>
                <w:sz w:val="22"/>
                <w:szCs w:val="22"/>
              </w:rPr>
              <w:t>iedad horizontal.</w:t>
            </w:r>
          </w:p>
          <w:p w14:paraId="33DE8DE6" w14:textId="77777777" w:rsidR="00325575" w:rsidRPr="00994EF4" w:rsidRDefault="00325575" w:rsidP="00325575">
            <w:pPr>
              <w:pStyle w:val="Prrafodelista"/>
              <w:numPr>
                <w:ilvl w:val="0"/>
                <w:numId w:val="16"/>
              </w:numPr>
              <w:jc w:val="both"/>
              <w:rPr>
                <w:rFonts w:ascii="Tahoma" w:hAnsi="Tahoma" w:cs="Tahoma"/>
                <w:bCs/>
                <w:sz w:val="22"/>
                <w:szCs w:val="22"/>
              </w:rPr>
            </w:pPr>
            <w:r w:rsidRPr="00994EF4">
              <w:rPr>
                <w:rFonts w:ascii="Tahoma" w:hAnsi="Tahoma" w:cs="Tahoma"/>
                <w:bCs/>
                <w:sz w:val="22"/>
                <w:szCs w:val="22"/>
              </w:rPr>
              <w:t>Actualización de datos de identificación de personas registradas en la base de datos del Sistema de Identificación y Clasificación de Potenciales Beneficiarios de Programas Sociales – SISBEN</w:t>
            </w:r>
            <w:r>
              <w:rPr>
                <w:rFonts w:ascii="Tahoma" w:hAnsi="Tahoma" w:cs="Tahoma"/>
                <w:bCs/>
                <w:sz w:val="22"/>
                <w:szCs w:val="22"/>
              </w:rPr>
              <w:t>.</w:t>
            </w:r>
          </w:p>
          <w:p w14:paraId="7BF67BB4" w14:textId="77777777" w:rsidR="00325575" w:rsidRDefault="00325575" w:rsidP="00325575">
            <w:pPr>
              <w:jc w:val="both"/>
              <w:rPr>
                <w:rFonts w:ascii="Tahoma" w:hAnsi="Tahoma" w:cs="Tahoma"/>
                <w:b/>
                <w:bCs/>
                <w:sz w:val="22"/>
                <w:szCs w:val="22"/>
              </w:rPr>
            </w:pPr>
          </w:p>
          <w:p w14:paraId="39F4AFB6" w14:textId="77777777" w:rsidR="00325575" w:rsidRPr="00FC7D02" w:rsidRDefault="00325575" w:rsidP="00325575">
            <w:pPr>
              <w:jc w:val="both"/>
              <w:rPr>
                <w:rFonts w:ascii="Tahoma" w:hAnsi="Tahoma" w:cs="Tahoma"/>
                <w:b/>
                <w:bCs/>
                <w:sz w:val="22"/>
                <w:szCs w:val="22"/>
              </w:rPr>
            </w:pPr>
            <w:r w:rsidRPr="00994EF4">
              <w:rPr>
                <w:rFonts w:ascii="Tahoma" w:hAnsi="Tahoma" w:cs="Tahoma"/>
                <w:bCs/>
                <w:sz w:val="22"/>
                <w:szCs w:val="22"/>
              </w:rPr>
              <w:t xml:space="preserve">Se evidencia que </w:t>
            </w:r>
            <w:r>
              <w:rPr>
                <w:rFonts w:ascii="Tahoma" w:hAnsi="Tahoma" w:cs="Tahoma"/>
                <w:bCs/>
                <w:sz w:val="22"/>
                <w:szCs w:val="22"/>
              </w:rPr>
              <w:t xml:space="preserve">estos trámites se encuentran publicados en la página web de la Alcaldía de Manizales, link Transparencia y Acceso a la Información Pública – Trámites y Servicios – Trámites Alcaldía de Manizales, el cual lleva al SI Virtual, donde se muestra el formato que debe diligenciar el ciudadano para acceder al servicio.  De los 9 trámites racionalizados, se observa que sólo el trámite “Autorización de la ocupación vial”, no se encuentra publicado en la página web.  Este componente presenta una valoración de cumplimiento del </w:t>
            </w:r>
            <w:r w:rsidRPr="00FC7D02">
              <w:rPr>
                <w:rFonts w:ascii="Tahoma" w:hAnsi="Tahoma" w:cs="Tahoma"/>
                <w:b/>
                <w:bCs/>
                <w:sz w:val="22"/>
                <w:szCs w:val="22"/>
              </w:rPr>
              <w:t xml:space="preserve">89%. </w:t>
            </w:r>
          </w:p>
          <w:p w14:paraId="7B05B4C0" w14:textId="77777777" w:rsidR="00325575" w:rsidRDefault="00325575" w:rsidP="00325575">
            <w:pPr>
              <w:jc w:val="both"/>
              <w:rPr>
                <w:rFonts w:ascii="Tahoma" w:hAnsi="Tahoma" w:cs="Tahoma"/>
                <w:b/>
                <w:bCs/>
                <w:sz w:val="22"/>
                <w:szCs w:val="22"/>
              </w:rPr>
            </w:pPr>
          </w:p>
          <w:p w14:paraId="27BD005B" w14:textId="77777777" w:rsidR="00325575" w:rsidRPr="00CB47C5" w:rsidRDefault="00325575" w:rsidP="009C1DC3">
            <w:pPr>
              <w:pStyle w:val="Prrafodelista"/>
              <w:ind w:left="0"/>
              <w:jc w:val="both"/>
              <w:rPr>
                <w:rFonts w:ascii="Tahoma" w:hAnsi="Tahoma" w:cs="Tahoma"/>
                <w:bCs/>
                <w:sz w:val="22"/>
                <w:szCs w:val="22"/>
              </w:rPr>
            </w:pPr>
            <w:r>
              <w:rPr>
                <w:rFonts w:ascii="Tahoma" w:hAnsi="Tahoma" w:cs="Tahoma"/>
                <w:b/>
                <w:bCs/>
                <w:sz w:val="22"/>
                <w:szCs w:val="22"/>
              </w:rPr>
              <w:t xml:space="preserve">6.3 </w:t>
            </w:r>
            <w:r w:rsidRPr="00DB0FA1">
              <w:rPr>
                <w:rFonts w:ascii="Tahoma" w:hAnsi="Tahoma" w:cs="Tahoma"/>
                <w:b/>
                <w:bCs/>
                <w:sz w:val="22"/>
                <w:szCs w:val="22"/>
              </w:rPr>
              <w:t>RENDICIÓN DE CUENTAS</w:t>
            </w:r>
          </w:p>
          <w:p w14:paraId="2EDE0AA2" w14:textId="77777777" w:rsidR="00325575" w:rsidRDefault="00325575" w:rsidP="00325575">
            <w:pPr>
              <w:pStyle w:val="Prrafodelista"/>
              <w:ind w:left="708"/>
              <w:jc w:val="both"/>
              <w:rPr>
                <w:rFonts w:ascii="Tahoma" w:hAnsi="Tahoma" w:cs="Tahoma"/>
                <w:b/>
                <w:bCs/>
                <w:sz w:val="22"/>
                <w:szCs w:val="22"/>
              </w:rPr>
            </w:pPr>
          </w:p>
          <w:p w14:paraId="174ABA87" w14:textId="4CF05CC0" w:rsidR="00325575" w:rsidRDefault="00325575" w:rsidP="00325575">
            <w:pPr>
              <w:jc w:val="both"/>
              <w:rPr>
                <w:rFonts w:ascii="Tahoma" w:hAnsi="Tahoma" w:cs="Tahoma"/>
                <w:bCs/>
                <w:sz w:val="22"/>
                <w:szCs w:val="22"/>
              </w:rPr>
            </w:pPr>
            <w:r>
              <w:rPr>
                <w:rFonts w:ascii="Tahoma" w:hAnsi="Tahoma" w:cs="Tahoma"/>
                <w:bCs/>
                <w:sz w:val="22"/>
                <w:szCs w:val="22"/>
              </w:rPr>
              <w:t>Se tiene formalizado el Equipo Coordinador de la Rendición de Cuentas</w:t>
            </w:r>
            <w:r w:rsidR="00D166A1">
              <w:rPr>
                <w:rFonts w:ascii="Tahoma" w:hAnsi="Tahoma" w:cs="Tahoma"/>
                <w:bCs/>
                <w:sz w:val="22"/>
                <w:szCs w:val="22"/>
              </w:rPr>
              <w:t>, según el Decreto 0164 de 2016</w:t>
            </w:r>
            <w:r>
              <w:rPr>
                <w:rFonts w:ascii="Tahoma" w:hAnsi="Tahoma" w:cs="Tahoma"/>
                <w:bCs/>
                <w:sz w:val="22"/>
                <w:szCs w:val="22"/>
              </w:rPr>
              <w:t xml:space="preserve">, conformado por la Secretaría de Hacienda, la Secretaría de Servicios Administrativos, la Unidad de Divulgación y Prensa, la Secretaría de Planeación y la Unidad de Control Interno, acogiéndose a los lineamientos de las Guías para la Gestión Pública Territorial – Lineamientos para la Rendición de Cuentas a la Ciudadanía por las </w:t>
            </w:r>
            <w:r>
              <w:rPr>
                <w:rFonts w:ascii="Tahoma" w:hAnsi="Tahoma" w:cs="Tahoma"/>
                <w:bCs/>
                <w:sz w:val="22"/>
                <w:szCs w:val="22"/>
              </w:rPr>
              <w:lastRenderedPageBreak/>
              <w:t xml:space="preserve">Administraciones Territoriales, sin embargo </w:t>
            </w:r>
            <w:r w:rsidR="00D166A1">
              <w:rPr>
                <w:rFonts w:ascii="Tahoma" w:hAnsi="Tahoma" w:cs="Tahoma"/>
                <w:bCs/>
                <w:sz w:val="22"/>
                <w:szCs w:val="22"/>
              </w:rPr>
              <w:t>no se evidencian actas de</w:t>
            </w:r>
            <w:r>
              <w:rPr>
                <w:rFonts w:ascii="Tahoma" w:hAnsi="Tahoma" w:cs="Tahoma"/>
                <w:bCs/>
                <w:sz w:val="22"/>
                <w:szCs w:val="22"/>
              </w:rPr>
              <w:t xml:space="preserve"> </w:t>
            </w:r>
            <w:r w:rsidR="00D166A1">
              <w:rPr>
                <w:rFonts w:ascii="Tahoma" w:hAnsi="Tahoma" w:cs="Tahoma"/>
                <w:bCs/>
                <w:sz w:val="22"/>
                <w:szCs w:val="22"/>
              </w:rPr>
              <w:t xml:space="preserve">participación de las </w:t>
            </w:r>
            <w:r>
              <w:rPr>
                <w:rFonts w:ascii="Tahoma" w:hAnsi="Tahoma" w:cs="Tahoma"/>
                <w:bCs/>
                <w:sz w:val="22"/>
                <w:szCs w:val="22"/>
              </w:rPr>
              <w:t xml:space="preserve"> </w:t>
            </w:r>
            <w:r w:rsidR="00D166A1">
              <w:rPr>
                <w:rFonts w:ascii="Tahoma" w:hAnsi="Tahoma" w:cs="Tahoma"/>
                <w:bCs/>
                <w:sz w:val="22"/>
                <w:szCs w:val="22"/>
              </w:rPr>
              <w:t>Secretaría de Hacienda y la Secretaría de Servicios Administrativos, además no se tiene en cuenta la oficina asesora del Despacho del Alcalde que juega un papel importante en el direccionamiento de las actividades por parte del Señor Alcalde.</w:t>
            </w:r>
          </w:p>
          <w:p w14:paraId="28E28012" w14:textId="77777777" w:rsidR="00325575" w:rsidRDefault="00325575" w:rsidP="00325575">
            <w:pPr>
              <w:jc w:val="both"/>
              <w:rPr>
                <w:rFonts w:ascii="Tahoma" w:hAnsi="Tahoma" w:cs="Tahoma"/>
                <w:bCs/>
                <w:sz w:val="22"/>
                <w:szCs w:val="22"/>
              </w:rPr>
            </w:pPr>
          </w:p>
          <w:p w14:paraId="145800C4" w14:textId="77777777" w:rsidR="00325575" w:rsidRPr="00CB47C5" w:rsidRDefault="00325575" w:rsidP="00325575">
            <w:pPr>
              <w:jc w:val="both"/>
              <w:rPr>
                <w:rFonts w:ascii="Tahoma" w:hAnsi="Tahoma" w:cs="Tahoma"/>
                <w:bCs/>
                <w:sz w:val="22"/>
                <w:szCs w:val="22"/>
              </w:rPr>
            </w:pPr>
            <w:r>
              <w:rPr>
                <w:rFonts w:ascii="Tahoma" w:hAnsi="Tahoma" w:cs="Tahoma"/>
                <w:bCs/>
                <w:sz w:val="22"/>
                <w:szCs w:val="22"/>
              </w:rPr>
              <w:t>En desarrollo de e</w:t>
            </w:r>
            <w:r w:rsidRPr="00CB47C5">
              <w:rPr>
                <w:rFonts w:ascii="Tahoma" w:hAnsi="Tahoma" w:cs="Tahoma"/>
                <w:bCs/>
                <w:sz w:val="22"/>
                <w:szCs w:val="22"/>
              </w:rPr>
              <w:t>ste subcomponente</w:t>
            </w:r>
            <w:r w:rsidRPr="00CB47C5">
              <w:rPr>
                <w:rFonts w:ascii="Tahoma" w:hAnsi="Tahoma" w:cs="Tahoma"/>
                <w:b/>
                <w:bCs/>
                <w:sz w:val="22"/>
                <w:szCs w:val="22"/>
              </w:rPr>
              <w:t xml:space="preserve"> </w:t>
            </w:r>
            <w:r w:rsidRPr="00CB47C5">
              <w:rPr>
                <w:rFonts w:ascii="Tahoma" w:hAnsi="Tahoma" w:cs="Tahoma"/>
                <w:bCs/>
                <w:sz w:val="22"/>
                <w:szCs w:val="22"/>
              </w:rPr>
              <w:t>se llevó a cabo</w:t>
            </w:r>
            <w:r w:rsidRPr="00CB47C5">
              <w:rPr>
                <w:rFonts w:ascii="Tahoma" w:hAnsi="Tahoma" w:cs="Tahoma"/>
                <w:b/>
                <w:bCs/>
                <w:sz w:val="22"/>
                <w:szCs w:val="22"/>
              </w:rPr>
              <w:t xml:space="preserve"> </w:t>
            </w:r>
            <w:r w:rsidRPr="00CB47C5">
              <w:rPr>
                <w:rFonts w:ascii="Tahoma" w:hAnsi="Tahoma" w:cs="Tahoma"/>
                <w:bCs/>
                <w:sz w:val="22"/>
                <w:szCs w:val="22"/>
              </w:rPr>
              <w:t xml:space="preserve">la realización de </w:t>
            </w:r>
            <w:r>
              <w:rPr>
                <w:rFonts w:ascii="Tahoma" w:hAnsi="Tahoma" w:cs="Tahoma"/>
                <w:bCs/>
                <w:sz w:val="22"/>
                <w:szCs w:val="22"/>
              </w:rPr>
              <w:t>l</w:t>
            </w:r>
            <w:r w:rsidRPr="006A41E4">
              <w:rPr>
                <w:rFonts w:ascii="Tahoma" w:hAnsi="Tahoma" w:cs="Tahoma"/>
                <w:bCs/>
                <w:sz w:val="22"/>
                <w:szCs w:val="22"/>
              </w:rPr>
              <w:t>a Rendición de Cuentas de los primeros 100 días de administración de</w:t>
            </w:r>
            <w:r>
              <w:rPr>
                <w:rFonts w:ascii="Tahoma" w:hAnsi="Tahoma" w:cs="Tahoma"/>
                <w:bCs/>
                <w:sz w:val="22"/>
                <w:szCs w:val="22"/>
              </w:rPr>
              <w:t xml:space="preserve">l Alcalde </w:t>
            </w:r>
            <w:r w:rsidRPr="006A41E4">
              <w:rPr>
                <w:rFonts w:ascii="Tahoma" w:hAnsi="Tahoma" w:cs="Tahoma"/>
                <w:bCs/>
                <w:sz w:val="22"/>
                <w:szCs w:val="22"/>
              </w:rPr>
              <w:t>Octavio Cardona León</w:t>
            </w:r>
            <w:r w:rsidRPr="00CB47C5">
              <w:rPr>
                <w:rFonts w:ascii="Tahoma" w:hAnsi="Tahoma" w:cs="Tahoma"/>
                <w:bCs/>
                <w:sz w:val="22"/>
                <w:szCs w:val="22"/>
              </w:rPr>
              <w:t xml:space="preserve">, en la cancha del barrio San Sebastián, con la asistencia de 410 ciudadanos y funcionarios de la Alcaldía de Manizales;  además de las actividades </w:t>
            </w:r>
            <w:r>
              <w:rPr>
                <w:rFonts w:ascii="Tahoma" w:hAnsi="Tahoma" w:cs="Tahoma"/>
                <w:bCs/>
                <w:sz w:val="22"/>
                <w:szCs w:val="22"/>
              </w:rPr>
              <w:t xml:space="preserve">definidas </w:t>
            </w:r>
            <w:r w:rsidRPr="00CB47C5">
              <w:rPr>
                <w:rFonts w:ascii="Tahoma" w:hAnsi="Tahoma" w:cs="Tahoma"/>
                <w:bCs/>
                <w:sz w:val="22"/>
                <w:szCs w:val="22"/>
              </w:rPr>
              <w:t xml:space="preserve">en el cronograma </w:t>
            </w:r>
            <w:r>
              <w:rPr>
                <w:rFonts w:ascii="Tahoma" w:hAnsi="Tahoma" w:cs="Tahoma"/>
                <w:bCs/>
                <w:sz w:val="22"/>
                <w:szCs w:val="22"/>
              </w:rPr>
              <w:t xml:space="preserve">de este subcomponente, el cual </w:t>
            </w:r>
            <w:r w:rsidRPr="00CB47C5">
              <w:rPr>
                <w:rFonts w:ascii="Tahoma" w:hAnsi="Tahoma" w:cs="Tahoma"/>
                <w:bCs/>
                <w:sz w:val="22"/>
                <w:szCs w:val="22"/>
              </w:rPr>
              <w:t xml:space="preserve">hace parte integral del </w:t>
            </w:r>
            <w:r>
              <w:rPr>
                <w:rFonts w:ascii="Tahoma" w:hAnsi="Tahoma" w:cs="Tahoma"/>
                <w:bCs/>
                <w:sz w:val="22"/>
                <w:szCs w:val="22"/>
              </w:rPr>
              <w:t xml:space="preserve">Decreto No. 0164 del 30 de marzo de 2016 “Plan Anticorrupción y Atención al Ciudadano y Código de Buen Gobierno”. </w:t>
            </w:r>
          </w:p>
          <w:p w14:paraId="0F222AF5" w14:textId="77777777" w:rsidR="00325575" w:rsidRDefault="00325575" w:rsidP="00325575">
            <w:pPr>
              <w:jc w:val="both"/>
              <w:rPr>
                <w:rFonts w:ascii="Tahoma" w:hAnsi="Tahoma" w:cs="Tahoma"/>
                <w:bCs/>
                <w:sz w:val="22"/>
                <w:szCs w:val="22"/>
              </w:rPr>
            </w:pPr>
          </w:p>
          <w:p w14:paraId="7A6F0AB1" w14:textId="2206BBFA" w:rsidR="00325575" w:rsidRPr="00C06954" w:rsidRDefault="00325575" w:rsidP="00325575">
            <w:pPr>
              <w:jc w:val="both"/>
              <w:rPr>
                <w:rFonts w:ascii="Tahoma" w:hAnsi="Tahoma" w:cs="Tahoma"/>
                <w:bCs/>
                <w:sz w:val="22"/>
                <w:szCs w:val="22"/>
              </w:rPr>
            </w:pPr>
            <w:r>
              <w:rPr>
                <w:rFonts w:ascii="Tahoma" w:hAnsi="Tahoma" w:cs="Tahoma"/>
                <w:b/>
                <w:bCs/>
                <w:sz w:val="22"/>
                <w:szCs w:val="22"/>
              </w:rPr>
              <w:t xml:space="preserve">Subcomponente 1: INFORMACIÓN DE CALIDAD Y EN LENGUAJE COMPRENSIBLE: </w:t>
            </w:r>
            <w:r w:rsidRPr="00C47699">
              <w:rPr>
                <w:rFonts w:ascii="Tahoma" w:hAnsi="Tahoma" w:cs="Tahoma"/>
                <w:bCs/>
                <w:sz w:val="22"/>
                <w:szCs w:val="22"/>
              </w:rPr>
              <w:t xml:space="preserve">Se evidencia estrategia elaborada para la rendición de cuentas que se llevó a cabo el día 23 de abril de 2016, </w:t>
            </w:r>
            <w:r w:rsidR="00C47699" w:rsidRPr="00C47699">
              <w:rPr>
                <w:rFonts w:ascii="Tahoma" w:hAnsi="Tahoma" w:cs="Tahoma"/>
                <w:bCs/>
                <w:sz w:val="22"/>
                <w:szCs w:val="22"/>
              </w:rPr>
              <w:t xml:space="preserve">sin embargo no se evidencia el acta de aprobación </w:t>
            </w:r>
            <w:r w:rsidRPr="00C47699">
              <w:rPr>
                <w:rFonts w:ascii="Tahoma" w:hAnsi="Tahoma" w:cs="Tahoma"/>
                <w:bCs/>
                <w:sz w:val="22"/>
                <w:szCs w:val="22"/>
              </w:rPr>
              <w:t xml:space="preserve"> por </w:t>
            </w:r>
            <w:r w:rsidR="00C47699" w:rsidRPr="00C47699">
              <w:rPr>
                <w:rFonts w:ascii="Tahoma" w:hAnsi="Tahoma" w:cs="Tahoma"/>
                <w:bCs/>
                <w:sz w:val="22"/>
                <w:szCs w:val="22"/>
              </w:rPr>
              <w:t>parte de</w:t>
            </w:r>
            <w:r w:rsidRPr="00C47699">
              <w:rPr>
                <w:rFonts w:ascii="Tahoma" w:hAnsi="Tahoma" w:cs="Tahoma"/>
                <w:bCs/>
                <w:sz w:val="22"/>
                <w:szCs w:val="22"/>
              </w:rPr>
              <w:t xml:space="preserve">l Comité Coordinador de Rendición de Cuentas. Se establece un cumplimiento para este subcomponente, del </w:t>
            </w:r>
            <w:r w:rsidR="00C47699">
              <w:rPr>
                <w:rFonts w:ascii="Tahoma" w:hAnsi="Tahoma" w:cs="Tahoma"/>
                <w:b/>
                <w:bCs/>
                <w:sz w:val="22"/>
                <w:szCs w:val="22"/>
              </w:rPr>
              <w:t>80</w:t>
            </w:r>
            <w:r w:rsidRPr="00C47699">
              <w:rPr>
                <w:rFonts w:ascii="Tahoma" w:hAnsi="Tahoma" w:cs="Tahoma"/>
                <w:b/>
                <w:bCs/>
                <w:sz w:val="22"/>
                <w:szCs w:val="22"/>
              </w:rPr>
              <w:t>%</w:t>
            </w:r>
            <w:r w:rsidRPr="00C47699">
              <w:rPr>
                <w:rFonts w:ascii="Tahoma" w:hAnsi="Tahoma" w:cs="Tahoma"/>
                <w:bCs/>
                <w:sz w:val="22"/>
                <w:szCs w:val="22"/>
              </w:rPr>
              <w:t>.</w:t>
            </w:r>
          </w:p>
          <w:p w14:paraId="10FA244F" w14:textId="77777777" w:rsidR="00325575" w:rsidRDefault="00325575" w:rsidP="00325575">
            <w:pPr>
              <w:jc w:val="both"/>
              <w:rPr>
                <w:rFonts w:ascii="Tahoma" w:hAnsi="Tahoma" w:cs="Tahoma"/>
                <w:b/>
                <w:bCs/>
                <w:sz w:val="22"/>
                <w:szCs w:val="22"/>
              </w:rPr>
            </w:pPr>
          </w:p>
          <w:p w14:paraId="674FB5DA" w14:textId="61299044" w:rsidR="00325575" w:rsidRDefault="00325575" w:rsidP="00325575">
            <w:pPr>
              <w:jc w:val="both"/>
              <w:rPr>
                <w:rFonts w:ascii="Tahoma" w:hAnsi="Tahoma" w:cs="Tahoma"/>
                <w:bCs/>
                <w:sz w:val="22"/>
                <w:szCs w:val="22"/>
              </w:rPr>
            </w:pPr>
            <w:r>
              <w:rPr>
                <w:rFonts w:ascii="Tahoma" w:hAnsi="Tahoma" w:cs="Tahoma"/>
                <w:b/>
                <w:bCs/>
                <w:sz w:val="22"/>
                <w:szCs w:val="22"/>
              </w:rPr>
              <w:t xml:space="preserve">Subcomponente 2: DIÁLOGO DE DOBLE VÍA CON LA CIUDADANÍA Y SUS ORGANIZACIONES: </w:t>
            </w:r>
            <w:r w:rsidRPr="00D67BE4">
              <w:rPr>
                <w:rFonts w:ascii="Tahoma" w:hAnsi="Tahoma" w:cs="Tahoma"/>
                <w:bCs/>
                <w:sz w:val="22"/>
                <w:szCs w:val="22"/>
              </w:rPr>
              <w:t>Dentro de las actividades desarrolladas en cumplimiento de este componente, se realiz</w:t>
            </w:r>
            <w:r>
              <w:rPr>
                <w:rFonts w:ascii="Tahoma" w:hAnsi="Tahoma" w:cs="Tahoma"/>
                <w:bCs/>
                <w:sz w:val="22"/>
                <w:szCs w:val="22"/>
              </w:rPr>
              <w:t xml:space="preserve">aron boletines de </w:t>
            </w:r>
            <w:r w:rsidRPr="00D67BE4">
              <w:rPr>
                <w:rFonts w:ascii="Tahoma" w:hAnsi="Tahoma" w:cs="Tahoma"/>
                <w:bCs/>
                <w:sz w:val="22"/>
                <w:szCs w:val="22"/>
              </w:rPr>
              <w:t>prensa</w:t>
            </w:r>
            <w:r>
              <w:rPr>
                <w:rFonts w:ascii="Tahoma" w:hAnsi="Tahoma" w:cs="Tahoma"/>
                <w:bCs/>
                <w:sz w:val="22"/>
                <w:szCs w:val="22"/>
              </w:rPr>
              <w:t xml:space="preserve"> publicitando la rendición de los “100 días con más oportunidades”</w:t>
            </w:r>
            <w:r w:rsidRPr="00D67BE4">
              <w:rPr>
                <w:rFonts w:ascii="Tahoma" w:hAnsi="Tahoma" w:cs="Tahoma"/>
                <w:bCs/>
                <w:sz w:val="22"/>
                <w:szCs w:val="22"/>
              </w:rPr>
              <w:t xml:space="preserve">, </w:t>
            </w:r>
            <w:r>
              <w:rPr>
                <w:rFonts w:ascii="Tahoma" w:hAnsi="Tahoma" w:cs="Tahoma"/>
                <w:bCs/>
                <w:sz w:val="22"/>
                <w:szCs w:val="22"/>
              </w:rPr>
              <w:t xml:space="preserve">se publicó en la página web de la Alcaldía </w:t>
            </w:r>
            <w:r w:rsidRPr="00F10A7D">
              <w:rPr>
                <w:rFonts w:ascii="Tahoma" w:hAnsi="Tahoma" w:cs="Tahoma"/>
                <w:bCs/>
                <w:sz w:val="22"/>
                <w:szCs w:val="22"/>
              </w:rPr>
              <w:t>documento ejecutivo con cad</w:t>
            </w:r>
            <w:r w:rsidR="00570068">
              <w:rPr>
                <w:rFonts w:ascii="Tahoma" w:hAnsi="Tahoma" w:cs="Tahoma"/>
                <w:bCs/>
                <w:sz w:val="22"/>
                <w:szCs w:val="22"/>
              </w:rPr>
              <w:t>a</w:t>
            </w:r>
            <w:r w:rsidRPr="00F10A7D">
              <w:rPr>
                <w:rFonts w:ascii="Tahoma" w:hAnsi="Tahoma" w:cs="Tahoma"/>
                <w:bCs/>
                <w:sz w:val="22"/>
                <w:szCs w:val="22"/>
              </w:rPr>
              <w:t xml:space="preserve"> uno de los proyectos pertenecientes a cada secretaría y/o </w:t>
            </w:r>
            <w:r>
              <w:rPr>
                <w:rFonts w:ascii="Tahoma" w:hAnsi="Tahoma" w:cs="Tahoma"/>
                <w:bCs/>
                <w:sz w:val="22"/>
                <w:szCs w:val="22"/>
              </w:rPr>
              <w:t xml:space="preserve">Unidad e informes de gestión, así mismo, la rendición se publicitó a través de las redes sociales de la Entidad y  de las Secretarías y/o Dependencias de la Alcaldía, con temáticas </w:t>
            </w:r>
            <w:r w:rsidRPr="00D67BE4">
              <w:rPr>
                <w:rFonts w:ascii="Tahoma" w:hAnsi="Tahoma" w:cs="Tahoma"/>
                <w:bCs/>
                <w:sz w:val="22"/>
                <w:szCs w:val="22"/>
              </w:rPr>
              <w:t xml:space="preserve">definidas de acuerdo con </w:t>
            </w:r>
            <w:r>
              <w:rPr>
                <w:rFonts w:ascii="Tahoma" w:hAnsi="Tahoma" w:cs="Tahoma"/>
                <w:bCs/>
                <w:sz w:val="22"/>
                <w:szCs w:val="22"/>
              </w:rPr>
              <w:t>las dimensiones d</w:t>
            </w:r>
            <w:r w:rsidRPr="00D67BE4">
              <w:rPr>
                <w:rFonts w:ascii="Tahoma" w:hAnsi="Tahoma" w:cs="Tahoma"/>
                <w:bCs/>
                <w:sz w:val="22"/>
                <w:szCs w:val="22"/>
              </w:rPr>
              <w:t xml:space="preserve">el Plan de </w:t>
            </w:r>
            <w:r>
              <w:rPr>
                <w:rFonts w:ascii="Tahoma" w:hAnsi="Tahoma" w:cs="Tahoma"/>
                <w:bCs/>
                <w:sz w:val="22"/>
                <w:szCs w:val="22"/>
              </w:rPr>
              <w:t>Desarrollo M</w:t>
            </w:r>
            <w:r w:rsidRPr="00D67BE4">
              <w:rPr>
                <w:rFonts w:ascii="Tahoma" w:hAnsi="Tahoma" w:cs="Tahoma"/>
                <w:bCs/>
                <w:sz w:val="22"/>
                <w:szCs w:val="22"/>
              </w:rPr>
              <w:t xml:space="preserve">ás </w:t>
            </w:r>
            <w:r>
              <w:rPr>
                <w:rFonts w:ascii="Tahoma" w:hAnsi="Tahoma" w:cs="Tahoma"/>
                <w:bCs/>
                <w:sz w:val="22"/>
                <w:szCs w:val="22"/>
              </w:rPr>
              <w:t>O</w:t>
            </w:r>
            <w:r w:rsidRPr="00D67BE4">
              <w:rPr>
                <w:rFonts w:ascii="Tahoma" w:hAnsi="Tahoma" w:cs="Tahoma"/>
                <w:bCs/>
                <w:sz w:val="22"/>
                <w:szCs w:val="22"/>
              </w:rPr>
              <w:t>portunidades 2016 -2019</w:t>
            </w:r>
            <w:r>
              <w:rPr>
                <w:rFonts w:ascii="Tahoma" w:hAnsi="Tahoma" w:cs="Tahoma"/>
                <w:bCs/>
                <w:sz w:val="22"/>
                <w:szCs w:val="22"/>
              </w:rPr>
              <w:t xml:space="preserve">.  Así mismo, se publicó la cartilla “100 días con más oportunidades  2016”, la cual fue entregada a los asistentes al evento de rendición de cuentas 2016 y se utilizaron los hashtag </w:t>
            </w:r>
            <w:r w:rsidRPr="00D67BE4">
              <w:rPr>
                <w:rFonts w:ascii="Tahoma" w:hAnsi="Tahoma" w:cs="Tahoma"/>
                <w:bCs/>
                <w:sz w:val="22"/>
                <w:szCs w:val="22"/>
              </w:rPr>
              <w:t>#100DíasdeMásOportunidades</w:t>
            </w:r>
            <w:r>
              <w:rPr>
                <w:rFonts w:ascii="Tahoma" w:hAnsi="Tahoma" w:cs="Tahoma"/>
                <w:bCs/>
                <w:sz w:val="22"/>
                <w:szCs w:val="22"/>
              </w:rPr>
              <w:t xml:space="preserve"> y #EsUnHecho, antes, durante y después del evento.</w:t>
            </w:r>
          </w:p>
          <w:p w14:paraId="78004D26" w14:textId="77777777" w:rsidR="00325575" w:rsidRDefault="00325575" w:rsidP="00325575">
            <w:pPr>
              <w:jc w:val="both"/>
              <w:rPr>
                <w:rFonts w:ascii="Tahoma" w:hAnsi="Tahoma" w:cs="Tahoma"/>
                <w:bCs/>
                <w:sz w:val="22"/>
                <w:szCs w:val="22"/>
              </w:rPr>
            </w:pPr>
          </w:p>
          <w:p w14:paraId="3E9CACA8" w14:textId="767EC87A" w:rsidR="00325575" w:rsidRPr="00C06954" w:rsidRDefault="00325575" w:rsidP="00325575">
            <w:pPr>
              <w:jc w:val="both"/>
              <w:rPr>
                <w:rFonts w:ascii="Tahoma" w:hAnsi="Tahoma" w:cs="Tahoma"/>
                <w:bCs/>
                <w:sz w:val="22"/>
                <w:szCs w:val="22"/>
              </w:rPr>
            </w:pPr>
            <w:r>
              <w:rPr>
                <w:rFonts w:ascii="Tahoma" w:hAnsi="Tahoma" w:cs="Tahoma"/>
                <w:bCs/>
                <w:sz w:val="22"/>
                <w:szCs w:val="22"/>
              </w:rPr>
              <w:t xml:space="preserve">Igualmente, el 18 de marzo de 2016 se publicó </w:t>
            </w:r>
            <w:r w:rsidRPr="00977CE8">
              <w:rPr>
                <w:rFonts w:ascii="Tahoma" w:hAnsi="Tahoma" w:cs="Tahoma"/>
                <w:bCs/>
                <w:sz w:val="22"/>
                <w:szCs w:val="22"/>
              </w:rPr>
              <w:t xml:space="preserve">en la página web </w:t>
            </w:r>
            <w:r>
              <w:rPr>
                <w:rFonts w:ascii="Tahoma" w:hAnsi="Tahoma" w:cs="Tahoma"/>
                <w:bCs/>
                <w:sz w:val="22"/>
                <w:szCs w:val="22"/>
              </w:rPr>
              <w:t xml:space="preserve">de la Alcaldía, el informe de gestión objeto del evento del 23 de abril de 2016, se construyó base de datos de los representantes de organizaciones sociales, gremiales, academia, medios de comunicación, entidades estatales y otros grupos de interés, el </w:t>
            </w:r>
            <w:r w:rsidRPr="00D67BE4">
              <w:rPr>
                <w:rFonts w:ascii="Tahoma" w:hAnsi="Tahoma" w:cs="Tahoma"/>
                <w:bCs/>
                <w:sz w:val="22"/>
                <w:szCs w:val="22"/>
              </w:rPr>
              <w:t>31 de marzo quedó activado el micro sitio Rendición de Cuentas primeros 100 días</w:t>
            </w:r>
            <w:r>
              <w:rPr>
                <w:rFonts w:ascii="Tahoma" w:hAnsi="Tahoma" w:cs="Tahoma"/>
                <w:bCs/>
                <w:sz w:val="22"/>
                <w:szCs w:val="22"/>
              </w:rPr>
              <w:t xml:space="preserve">, </w:t>
            </w:r>
            <w:r w:rsidRPr="00270E21">
              <w:rPr>
                <w:rFonts w:ascii="Tahoma" w:hAnsi="Tahoma" w:cs="Tahoma"/>
                <w:bCs/>
                <w:sz w:val="22"/>
                <w:szCs w:val="22"/>
              </w:rPr>
              <w:t xml:space="preserve">adecuado </w:t>
            </w:r>
            <w:r>
              <w:rPr>
                <w:rFonts w:ascii="Tahoma" w:hAnsi="Tahoma" w:cs="Tahoma"/>
                <w:bCs/>
                <w:sz w:val="22"/>
                <w:szCs w:val="22"/>
              </w:rPr>
              <w:t xml:space="preserve">inicialmente </w:t>
            </w:r>
            <w:r w:rsidRPr="00270E21">
              <w:rPr>
                <w:rFonts w:ascii="Tahoma" w:hAnsi="Tahoma" w:cs="Tahoma"/>
                <w:bCs/>
                <w:sz w:val="22"/>
                <w:szCs w:val="22"/>
              </w:rPr>
              <w:t xml:space="preserve">para la publicación </w:t>
            </w:r>
            <w:r>
              <w:rPr>
                <w:rFonts w:ascii="Tahoma" w:hAnsi="Tahoma" w:cs="Tahoma"/>
                <w:bCs/>
                <w:sz w:val="22"/>
                <w:szCs w:val="22"/>
              </w:rPr>
              <w:t xml:space="preserve">de la </w:t>
            </w:r>
            <w:r>
              <w:rPr>
                <w:rFonts w:ascii="Tahoma" w:hAnsi="Tahoma" w:cs="Tahoma"/>
                <w:bCs/>
                <w:sz w:val="22"/>
                <w:szCs w:val="22"/>
              </w:rPr>
              <w:lastRenderedPageBreak/>
              <w:t xml:space="preserve">cartilla “100 días con más oportunidades  2016” </w:t>
            </w:r>
            <w:r w:rsidRPr="00270E21">
              <w:rPr>
                <w:rFonts w:ascii="Tahoma" w:hAnsi="Tahoma" w:cs="Tahoma"/>
                <w:bCs/>
                <w:sz w:val="22"/>
                <w:szCs w:val="22"/>
              </w:rPr>
              <w:t xml:space="preserve">y </w:t>
            </w:r>
            <w:r>
              <w:rPr>
                <w:rFonts w:ascii="Tahoma" w:hAnsi="Tahoma" w:cs="Tahoma"/>
                <w:bCs/>
                <w:sz w:val="22"/>
                <w:szCs w:val="22"/>
              </w:rPr>
              <w:t xml:space="preserve">recibir </w:t>
            </w:r>
            <w:r w:rsidRPr="00270E21">
              <w:rPr>
                <w:rFonts w:ascii="Tahoma" w:hAnsi="Tahoma" w:cs="Tahoma"/>
                <w:bCs/>
                <w:sz w:val="22"/>
                <w:szCs w:val="22"/>
              </w:rPr>
              <w:t xml:space="preserve">preguntas </w:t>
            </w:r>
            <w:r>
              <w:rPr>
                <w:rFonts w:ascii="Tahoma" w:hAnsi="Tahoma" w:cs="Tahoma"/>
                <w:bCs/>
                <w:sz w:val="22"/>
                <w:szCs w:val="22"/>
              </w:rPr>
              <w:t xml:space="preserve">de la ciudadanía, </w:t>
            </w:r>
            <w:r w:rsidRPr="00D67BE4">
              <w:rPr>
                <w:rFonts w:ascii="Tahoma" w:hAnsi="Tahoma" w:cs="Tahoma"/>
                <w:bCs/>
                <w:sz w:val="22"/>
                <w:szCs w:val="22"/>
              </w:rPr>
              <w:t>se</w:t>
            </w:r>
            <w:r>
              <w:rPr>
                <w:rFonts w:ascii="Tahoma" w:hAnsi="Tahoma" w:cs="Tahoma"/>
                <w:bCs/>
                <w:sz w:val="22"/>
                <w:szCs w:val="22"/>
              </w:rPr>
              <w:t xml:space="preserve"> publicó en el c</w:t>
            </w:r>
            <w:r w:rsidRPr="00D67BE4">
              <w:rPr>
                <w:rFonts w:ascii="Tahoma" w:hAnsi="Tahoma" w:cs="Tahoma"/>
                <w:bCs/>
                <w:sz w:val="22"/>
                <w:szCs w:val="22"/>
              </w:rPr>
              <w:t xml:space="preserve">anal </w:t>
            </w:r>
            <w:r w:rsidR="00B77069" w:rsidRPr="00D67BE4">
              <w:rPr>
                <w:rFonts w:ascii="Tahoma" w:hAnsi="Tahoma" w:cs="Tahoma"/>
                <w:bCs/>
                <w:sz w:val="22"/>
                <w:szCs w:val="22"/>
              </w:rPr>
              <w:t>YouTube</w:t>
            </w:r>
            <w:r w:rsidRPr="00D67BE4">
              <w:rPr>
                <w:rFonts w:ascii="Tahoma" w:hAnsi="Tahoma" w:cs="Tahoma"/>
                <w:bCs/>
                <w:sz w:val="22"/>
                <w:szCs w:val="22"/>
              </w:rPr>
              <w:t xml:space="preserve"> alcaldíademanizales</w:t>
            </w:r>
            <w:r>
              <w:rPr>
                <w:rFonts w:ascii="Tahoma" w:hAnsi="Tahoma" w:cs="Tahoma"/>
                <w:bCs/>
                <w:sz w:val="22"/>
                <w:szCs w:val="22"/>
              </w:rPr>
              <w:t xml:space="preserve"> </w:t>
            </w:r>
            <w:r w:rsidRPr="00C06954">
              <w:rPr>
                <w:rFonts w:ascii="Tahoma" w:hAnsi="Tahoma" w:cs="Tahoma"/>
                <w:bCs/>
                <w:sz w:val="22"/>
                <w:szCs w:val="22"/>
              </w:rPr>
              <w:t xml:space="preserve">y </w:t>
            </w:r>
            <w:r>
              <w:rPr>
                <w:rFonts w:ascii="Tahoma" w:hAnsi="Tahoma" w:cs="Tahoma"/>
                <w:bCs/>
                <w:sz w:val="22"/>
                <w:szCs w:val="22"/>
              </w:rPr>
              <w:t xml:space="preserve">en la </w:t>
            </w:r>
            <w:r w:rsidRPr="00C06954">
              <w:rPr>
                <w:rFonts w:ascii="Tahoma" w:hAnsi="Tahoma" w:cs="Tahoma"/>
                <w:bCs/>
                <w:sz w:val="22"/>
                <w:szCs w:val="22"/>
              </w:rPr>
              <w:t xml:space="preserve">página web </w:t>
            </w:r>
            <w:r>
              <w:rPr>
                <w:rFonts w:ascii="Tahoma" w:hAnsi="Tahoma" w:cs="Tahoma"/>
                <w:bCs/>
                <w:sz w:val="22"/>
                <w:szCs w:val="22"/>
              </w:rPr>
              <w:t>se habilitó e</w:t>
            </w:r>
            <w:r w:rsidRPr="00C06954">
              <w:rPr>
                <w:rFonts w:ascii="Tahoma" w:hAnsi="Tahoma" w:cs="Tahoma"/>
                <w:bCs/>
                <w:sz w:val="22"/>
                <w:szCs w:val="22"/>
              </w:rPr>
              <w:t>l botón "Rendicióndecuentas"</w:t>
            </w:r>
            <w:r>
              <w:rPr>
                <w:rFonts w:ascii="Tahoma" w:hAnsi="Tahoma" w:cs="Tahoma"/>
                <w:bCs/>
                <w:sz w:val="22"/>
                <w:szCs w:val="22"/>
              </w:rPr>
              <w:t xml:space="preserve"> para divulgar todo lo relacionado con el evento; se diseñó y entregó </w:t>
            </w:r>
            <w:r w:rsidR="002B15B4">
              <w:rPr>
                <w:rFonts w:ascii="Tahoma" w:hAnsi="Tahoma" w:cs="Tahoma"/>
                <w:bCs/>
                <w:sz w:val="22"/>
                <w:szCs w:val="22"/>
              </w:rPr>
              <w:t xml:space="preserve">un </w:t>
            </w:r>
            <w:r>
              <w:rPr>
                <w:rFonts w:ascii="Tahoma" w:hAnsi="Tahoma" w:cs="Tahoma"/>
                <w:bCs/>
                <w:sz w:val="22"/>
                <w:szCs w:val="22"/>
              </w:rPr>
              <w:t xml:space="preserve">formato para </w:t>
            </w:r>
            <w:r w:rsidRPr="00C06954">
              <w:rPr>
                <w:rFonts w:ascii="Tahoma" w:hAnsi="Tahoma" w:cs="Tahoma"/>
                <w:bCs/>
                <w:sz w:val="22"/>
                <w:szCs w:val="22"/>
              </w:rPr>
              <w:t xml:space="preserve">preguntas </w:t>
            </w:r>
            <w:r>
              <w:rPr>
                <w:rFonts w:ascii="Tahoma" w:hAnsi="Tahoma" w:cs="Tahoma"/>
                <w:bCs/>
                <w:sz w:val="22"/>
                <w:szCs w:val="22"/>
              </w:rPr>
              <w:t>en la rendición del</w:t>
            </w:r>
            <w:r w:rsidRPr="00C06954">
              <w:rPr>
                <w:rFonts w:ascii="Tahoma" w:hAnsi="Tahoma" w:cs="Tahoma"/>
                <w:bCs/>
                <w:sz w:val="22"/>
                <w:szCs w:val="22"/>
              </w:rPr>
              <w:t xml:space="preserve"> 23 de abril de 2016</w:t>
            </w:r>
            <w:r>
              <w:rPr>
                <w:rFonts w:ascii="Tahoma" w:hAnsi="Tahoma" w:cs="Tahoma"/>
                <w:bCs/>
                <w:sz w:val="22"/>
                <w:szCs w:val="22"/>
              </w:rPr>
              <w:t xml:space="preserve">, algunas preguntas de la comunidad se respondieron </w:t>
            </w:r>
            <w:r w:rsidR="00D33914">
              <w:rPr>
                <w:rFonts w:ascii="Tahoma" w:hAnsi="Tahoma" w:cs="Tahoma"/>
                <w:bCs/>
                <w:sz w:val="22"/>
                <w:szCs w:val="22"/>
              </w:rPr>
              <w:t>i</w:t>
            </w:r>
            <w:r>
              <w:rPr>
                <w:rFonts w:ascii="Tahoma" w:hAnsi="Tahoma" w:cs="Tahoma"/>
                <w:bCs/>
                <w:sz w:val="22"/>
                <w:szCs w:val="22"/>
              </w:rPr>
              <w:t>n</w:t>
            </w:r>
            <w:r w:rsidR="00D33914">
              <w:rPr>
                <w:rFonts w:ascii="Tahoma" w:hAnsi="Tahoma" w:cs="Tahoma"/>
                <w:bCs/>
                <w:sz w:val="22"/>
                <w:szCs w:val="22"/>
              </w:rPr>
              <w:t xml:space="preserve"> </w:t>
            </w:r>
            <w:r>
              <w:rPr>
                <w:rFonts w:ascii="Tahoma" w:hAnsi="Tahoma" w:cs="Tahoma"/>
                <w:bCs/>
                <w:sz w:val="22"/>
                <w:szCs w:val="22"/>
              </w:rPr>
              <w:t>situ y l</w:t>
            </w:r>
            <w:r w:rsidR="00D33914">
              <w:rPr>
                <w:rFonts w:ascii="Tahoma" w:hAnsi="Tahoma" w:cs="Tahoma"/>
                <w:bCs/>
                <w:sz w:val="22"/>
                <w:szCs w:val="22"/>
              </w:rPr>
              <w:t>as demás fueron enviadas a las D</w:t>
            </w:r>
            <w:r>
              <w:rPr>
                <w:rFonts w:ascii="Tahoma" w:hAnsi="Tahoma" w:cs="Tahoma"/>
                <w:bCs/>
                <w:sz w:val="22"/>
                <w:szCs w:val="22"/>
              </w:rPr>
              <w:t>ependencias que competen, para trámite y respectiva respuesta al ciudadano, s</w:t>
            </w:r>
            <w:r w:rsidRPr="00C06954">
              <w:rPr>
                <w:rFonts w:ascii="Tahoma" w:hAnsi="Tahoma" w:cs="Tahoma"/>
                <w:bCs/>
                <w:sz w:val="22"/>
                <w:szCs w:val="22"/>
              </w:rPr>
              <w:t>e recibieron 8 videos selfi</w:t>
            </w:r>
            <w:r>
              <w:rPr>
                <w:rFonts w:ascii="Tahoma" w:hAnsi="Tahoma" w:cs="Tahoma"/>
                <w:bCs/>
                <w:sz w:val="22"/>
                <w:szCs w:val="22"/>
              </w:rPr>
              <w:t xml:space="preserve"> con preguntas sobre la ren</w:t>
            </w:r>
            <w:r w:rsidR="00B77069">
              <w:rPr>
                <w:rFonts w:ascii="Tahoma" w:hAnsi="Tahoma" w:cs="Tahoma"/>
                <w:bCs/>
                <w:sz w:val="22"/>
                <w:szCs w:val="22"/>
              </w:rPr>
              <w:t>dición, a través de línea whatsa</w:t>
            </w:r>
            <w:r w:rsidR="00D33914">
              <w:rPr>
                <w:rFonts w:ascii="Tahoma" w:hAnsi="Tahoma" w:cs="Tahoma"/>
                <w:bCs/>
                <w:sz w:val="22"/>
                <w:szCs w:val="22"/>
              </w:rPr>
              <w:t>p</w:t>
            </w:r>
            <w:r>
              <w:rPr>
                <w:rFonts w:ascii="Tahoma" w:hAnsi="Tahoma" w:cs="Tahoma"/>
                <w:bCs/>
                <w:sz w:val="22"/>
                <w:szCs w:val="22"/>
              </w:rPr>
              <w:t>p h</w:t>
            </w:r>
            <w:r w:rsidRPr="00C06954">
              <w:rPr>
                <w:rFonts w:ascii="Tahoma" w:hAnsi="Tahoma" w:cs="Tahoma"/>
                <w:bCs/>
                <w:sz w:val="22"/>
                <w:szCs w:val="22"/>
              </w:rPr>
              <w:t>abilitada.</w:t>
            </w:r>
            <w:r>
              <w:rPr>
                <w:rFonts w:ascii="Tahoma" w:hAnsi="Tahoma" w:cs="Tahoma"/>
                <w:bCs/>
                <w:sz w:val="22"/>
                <w:szCs w:val="22"/>
              </w:rPr>
              <w:t xml:space="preserve">  Este subcomponente queda valorado con un cumplimiento del </w:t>
            </w:r>
            <w:r w:rsidRPr="00FC7D02">
              <w:rPr>
                <w:rFonts w:ascii="Tahoma" w:hAnsi="Tahoma" w:cs="Tahoma"/>
                <w:b/>
                <w:bCs/>
                <w:sz w:val="22"/>
                <w:szCs w:val="22"/>
              </w:rPr>
              <w:t>100%.</w:t>
            </w:r>
          </w:p>
          <w:p w14:paraId="1B987AA1" w14:textId="77777777" w:rsidR="00325575" w:rsidRDefault="00325575" w:rsidP="00325575">
            <w:pPr>
              <w:jc w:val="both"/>
              <w:rPr>
                <w:rFonts w:ascii="Tahoma" w:hAnsi="Tahoma" w:cs="Tahoma"/>
                <w:bCs/>
                <w:sz w:val="22"/>
                <w:szCs w:val="22"/>
              </w:rPr>
            </w:pPr>
            <w:r>
              <w:rPr>
                <w:rFonts w:ascii="Tahoma" w:hAnsi="Tahoma" w:cs="Tahoma"/>
                <w:bCs/>
                <w:sz w:val="22"/>
                <w:szCs w:val="22"/>
              </w:rPr>
              <w:t xml:space="preserve"> </w:t>
            </w:r>
          </w:p>
          <w:p w14:paraId="365170FE" w14:textId="77777777" w:rsidR="00325575" w:rsidRPr="00C06954" w:rsidRDefault="00325575" w:rsidP="00325575">
            <w:pPr>
              <w:jc w:val="both"/>
              <w:rPr>
                <w:rFonts w:ascii="Tahoma" w:hAnsi="Tahoma" w:cs="Tahoma"/>
                <w:bCs/>
                <w:sz w:val="22"/>
                <w:szCs w:val="22"/>
              </w:rPr>
            </w:pPr>
            <w:r>
              <w:rPr>
                <w:rFonts w:ascii="Tahoma" w:hAnsi="Tahoma" w:cs="Tahoma"/>
                <w:b/>
                <w:bCs/>
                <w:sz w:val="22"/>
                <w:szCs w:val="22"/>
              </w:rPr>
              <w:t xml:space="preserve">Subcomponente 3: INCENTIVOS PARA MOTIVAR LA CULTURA DE LA RENDICIÓN DE CUENTAS Y PETICIÓN DE CUENTAS: </w:t>
            </w:r>
            <w:r w:rsidRPr="00D67B41">
              <w:rPr>
                <w:rFonts w:ascii="Tahoma" w:hAnsi="Tahoma" w:cs="Tahoma"/>
                <w:bCs/>
                <w:sz w:val="22"/>
                <w:szCs w:val="22"/>
              </w:rPr>
              <w:t>No</w:t>
            </w:r>
            <w:r>
              <w:rPr>
                <w:rFonts w:ascii="Tahoma" w:hAnsi="Tahoma" w:cs="Tahoma"/>
                <w:b/>
                <w:bCs/>
                <w:sz w:val="22"/>
                <w:szCs w:val="22"/>
              </w:rPr>
              <w:t xml:space="preserve"> </w:t>
            </w:r>
            <w:r w:rsidRPr="00D67B41">
              <w:rPr>
                <w:rFonts w:ascii="Tahoma" w:hAnsi="Tahoma" w:cs="Tahoma"/>
                <w:bCs/>
                <w:sz w:val="22"/>
                <w:szCs w:val="22"/>
              </w:rPr>
              <w:t>se</w:t>
            </w:r>
            <w:r>
              <w:rPr>
                <w:rFonts w:ascii="Tahoma" w:hAnsi="Tahoma" w:cs="Tahoma"/>
                <w:b/>
                <w:bCs/>
                <w:sz w:val="22"/>
                <w:szCs w:val="22"/>
              </w:rPr>
              <w:t xml:space="preserve"> </w:t>
            </w:r>
            <w:r>
              <w:rPr>
                <w:rFonts w:ascii="Tahoma" w:hAnsi="Tahoma" w:cs="Tahoma"/>
                <w:bCs/>
                <w:sz w:val="22"/>
                <w:szCs w:val="22"/>
              </w:rPr>
              <w:t xml:space="preserve">evidencian acciones para la propuesta de firma de pacto ciudadano para la creación del “Ciudadano Transparente”, solo se cumplió la actividad de generar base de datos de los participantes al evento.  Este subcomponente tiene una valoración de cumplimiento del </w:t>
            </w:r>
            <w:r w:rsidRPr="00FC7D02">
              <w:rPr>
                <w:rFonts w:ascii="Tahoma" w:hAnsi="Tahoma" w:cs="Tahoma"/>
                <w:b/>
                <w:bCs/>
                <w:sz w:val="22"/>
                <w:szCs w:val="22"/>
              </w:rPr>
              <w:t>50%.</w:t>
            </w:r>
            <w:r>
              <w:rPr>
                <w:rFonts w:ascii="Tahoma" w:hAnsi="Tahoma" w:cs="Tahoma"/>
                <w:bCs/>
                <w:sz w:val="22"/>
                <w:szCs w:val="22"/>
              </w:rPr>
              <w:t xml:space="preserve"> </w:t>
            </w:r>
          </w:p>
          <w:p w14:paraId="6D688BA6" w14:textId="77777777" w:rsidR="00325575" w:rsidRDefault="00325575" w:rsidP="00325575">
            <w:pPr>
              <w:jc w:val="both"/>
              <w:rPr>
                <w:rFonts w:ascii="Tahoma" w:hAnsi="Tahoma" w:cs="Tahoma"/>
                <w:b/>
                <w:bCs/>
                <w:sz w:val="22"/>
                <w:szCs w:val="22"/>
              </w:rPr>
            </w:pPr>
          </w:p>
          <w:p w14:paraId="5EC2552A" w14:textId="77777777" w:rsidR="00325575" w:rsidRPr="00FC7D02" w:rsidRDefault="00325575" w:rsidP="00325575">
            <w:pPr>
              <w:jc w:val="both"/>
              <w:rPr>
                <w:rFonts w:ascii="Tahoma" w:hAnsi="Tahoma" w:cs="Tahoma"/>
                <w:b/>
                <w:bCs/>
                <w:sz w:val="22"/>
                <w:szCs w:val="22"/>
              </w:rPr>
            </w:pPr>
            <w:r>
              <w:rPr>
                <w:rFonts w:ascii="Tahoma" w:hAnsi="Tahoma" w:cs="Tahoma"/>
                <w:b/>
                <w:bCs/>
                <w:sz w:val="22"/>
                <w:szCs w:val="22"/>
              </w:rPr>
              <w:t xml:space="preserve">Subcomponente 4: EVALUACIÓN Y RETROALIMENTACIÓN A LA GESTIÓN INSTITUCIONAL:  </w:t>
            </w:r>
            <w:r w:rsidRPr="009F21EE">
              <w:rPr>
                <w:rFonts w:ascii="Tahoma" w:hAnsi="Tahoma" w:cs="Tahoma"/>
                <w:bCs/>
                <w:sz w:val="22"/>
                <w:szCs w:val="22"/>
              </w:rPr>
              <w:t>Los resultados de todas las acciones realizadas en los eventos de rendición de cuentas</w:t>
            </w:r>
            <w:r>
              <w:rPr>
                <w:rFonts w:ascii="Tahoma" w:hAnsi="Tahoma" w:cs="Tahoma"/>
                <w:bCs/>
                <w:sz w:val="22"/>
                <w:szCs w:val="22"/>
              </w:rPr>
              <w:t xml:space="preserve"> del año 2016</w:t>
            </w:r>
            <w:r w:rsidRPr="009F21EE">
              <w:rPr>
                <w:rFonts w:ascii="Tahoma" w:hAnsi="Tahoma" w:cs="Tahoma"/>
                <w:bCs/>
                <w:sz w:val="22"/>
                <w:szCs w:val="22"/>
              </w:rPr>
              <w:t xml:space="preserve">, el primero llevado a cabo el día 23 de abril y el segundo programado para el </w:t>
            </w:r>
            <w:r>
              <w:rPr>
                <w:rFonts w:ascii="Tahoma" w:hAnsi="Tahoma" w:cs="Tahoma"/>
                <w:bCs/>
                <w:sz w:val="22"/>
                <w:szCs w:val="22"/>
              </w:rPr>
              <w:t xml:space="preserve">próximo </w:t>
            </w:r>
            <w:r w:rsidRPr="009F21EE">
              <w:rPr>
                <w:rFonts w:ascii="Tahoma" w:hAnsi="Tahoma" w:cs="Tahoma"/>
                <w:bCs/>
                <w:sz w:val="22"/>
                <w:szCs w:val="22"/>
              </w:rPr>
              <w:t xml:space="preserve">mes de diciembre, serán registrados en un documento memoria de evaluación de la estrategia de Rendición de Cuentas, </w:t>
            </w:r>
            <w:r>
              <w:rPr>
                <w:rFonts w:ascii="Tahoma" w:hAnsi="Tahoma" w:cs="Tahoma"/>
                <w:bCs/>
                <w:sz w:val="22"/>
                <w:szCs w:val="22"/>
              </w:rPr>
              <w:t xml:space="preserve">que </w:t>
            </w:r>
            <w:r w:rsidRPr="009F21EE">
              <w:rPr>
                <w:rFonts w:ascii="Tahoma" w:hAnsi="Tahoma" w:cs="Tahoma"/>
                <w:bCs/>
                <w:sz w:val="22"/>
                <w:szCs w:val="22"/>
              </w:rPr>
              <w:t xml:space="preserve">será publicado y divulgado </w:t>
            </w:r>
            <w:r>
              <w:rPr>
                <w:rFonts w:ascii="Tahoma" w:hAnsi="Tahoma" w:cs="Tahoma"/>
                <w:bCs/>
                <w:sz w:val="22"/>
                <w:szCs w:val="22"/>
              </w:rPr>
              <w:t xml:space="preserve">en la página web de la Entidad, </w:t>
            </w:r>
            <w:r w:rsidRPr="009F21EE">
              <w:rPr>
                <w:rFonts w:ascii="Tahoma" w:hAnsi="Tahoma" w:cs="Tahoma"/>
                <w:bCs/>
                <w:sz w:val="22"/>
                <w:szCs w:val="22"/>
              </w:rPr>
              <w:t xml:space="preserve">para conocimiento de la ciudadanía, el cual se encuentra en construcción, toda vez que se constituye como la última acción de la estrategia </w:t>
            </w:r>
            <w:r>
              <w:rPr>
                <w:rFonts w:ascii="Tahoma" w:hAnsi="Tahoma" w:cs="Tahoma"/>
                <w:bCs/>
                <w:sz w:val="22"/>
                <w:szCs w:val="22"/>
              </w:rPr>
              <w:t xml:space="preserve">de rendición de cuentas </w:t>
            </w:r>
            <w:r w:rsidRPr="009F21EE">
              <w:rPr>
                <w:rFonts w:ascii="Tahoma" w:hAnsi="Tahoma" w:cs="Tahoma"/>
                <w:bCs/>
                <w:sz w:val="22"/>
                <w:szCs w:val="22"/>
              </w:rPr>
              <w:t>para la presente vigencia 2016.</w:t>
            </w:r>
            <w:r>
              <w:rPr>
                <w:rFonts w:ascii="Tahoma" w:hAnsi="Tahoma" w:cs="Tahoma"/>
                <w:bCs/>
                <w:sz w:val="22"/>
                <w:szCs w:val="22"/>
              </w:rPr>
              <w:t xml:space="preserve"> Este subcomponente se valora con un cumplimiento del </w:t>
            </w:r>
            <w:r w:rsidRPr="00FC7D02">
              <w:rPr>
                <w:rFonts w:ascii="Tahoma" w:hAnsi="Tahoma" w:cs="Tahoma"/>
                <w:b/>
                <w:bCs/>
                <w:sz w:val="22"/>
                <w:szCs w:val="22"/>
              </w:rPr>
              <w:t>50%.</w:t>
            </w:r>
          </w:p>
          <w:p w14:paraId="5ECFFE20" w14:textId="7C3566FD" w:rsidR="00325575" w:rsidRPr="003D2336" w:rsidRDefault="00325575" w:rsidP="00325575">
            <w:pPr>
              <w:pStyle w:val="Prrafodelista"/>
              <w:ind w:left="0"/>
              <w:jc w:val="both"/>
              <w:rPr>
                <w:rFonts w:ascii="Tahoma" w:hAnsi="Tahoma" w:cs="Tahoma"/>
                <w:b/>
                <w:bCs/>
                <w:sz w:val="22"/>
                <w:szCs w:val="22"/>
              </w:rPr>
            </w:pPr>
          </w:p>
        </w:tc>
      </w:tr>
      <w:tr w:rsidR="00325575" w:rsidRPr="00880DA6" w14:paraId="4A0670D2" w14:textId="77777777" w:rsidTr="009C1DC3">
        <w:trPr>
          <w:trHeight w:val="70"/>
        </w:trPr>
        <w:tc>
          <w:tcPr>
            <w:tcW w:w="9054" w:type="dxa"/>
            <w:gridSpan w:val="2"/>
          </w:tcPr>
          <w:p w14:paraId="34E90AC9" w14:textId="77777777" w:rsidR="00356604" w:rsidRDefault="00356604" w:rsidP="009C1DC3">
            <w:pPr>
              <w:jc w:val="both"/>
              <w:rPr>
                <w:rFonts w:ascii="Tahoma" w:hAnsi="Tahoma" w:cs="Tahoma"/>
                <w:b/>
                <w:bCs/>
                <w:sz w:val="22"/>
                <w:szCs w:val="22"/>
              </w:rPr>
            </w:pPr>
            <w:r w:rsidRPr="00356604">
              <w:rPr>
                <w:rFonts w:ascii="Tahoma" w:hAnsi="Tahoma" w:cs="Tahoma"/>
                <w:b/>
                <w:bCs/>
                <w:sz w:val="22"/>
                <w:szCs w:val="22"/>
              </w:rPr>
              <w:lastRenderedPageBreak/>
              <w:t>6.4 COMPONENTE MECANISMOS PARA MEJORAR LA ATENCIÓN AL CIUDADANO</w:t>
            </w:r>
          </w:p>
          <w:p w14:paraId="5B554B06" w14:textId="77777777" w:rsidR="00B848C8" w:rsidRDefault="00B848C8" w:rsidP="00356604">
            <w:pPr>
              <w:ind w:left="708"/>
              <w:jc w:val="both"/>
              <w:rPr>
                <w:rFonts w:ascii="Tahoma" w:hAnsi="Tahoma" w:cs="Tahoma"/>
                <w:b/>
                <w:bCs/>
                <w:sz w:val="22"/>
                <w:szCs w:val="22"/>
              </w:rPr>
            </w:pPr>
          </w:p>
          <w:p w14:paraId="688B7FB7" w14:textId="78DDED4C" w:rsidR="00B848C8" w:rsidRDefault="00B848C8" w:rsidP="00B848C8">
            <w:pPr>
              <w:jc w:val="both"/>
              <w:rPr>
                <w:rFonts w:ascii="Tahoma" w:hAnsi="Tahoma" w:cs="Tahoma"/>
                <w:b/>
                <w:bCs/>
                <w:sz w:val="22"/>
                <w:szCs w:val="22"/>
              </w:rPr>
            </w:pPr>
            <w:r w:rsidRPr="00160CD2">
              <w:rPr>
                <w:rFonts w:ascii="Tahoma" w:hAnsi="Tahoma" w:cs="Tahoma"/>
                <w:b/>
                <w:bCs/>
                <w:sz w:val="22"/>
                <w:szCs w:val="22"/>
              </w:rPr>
              <w:t>Subcomponente 1</w:t>
            </w:r>
            <w:r>
              <w:rPr>
                <w:rFonts w:ascii="Tahoma" w:hAnsi="Tahoma" w:cs="Tahoma"/>
                <w:b/>
                <w:bCs/>
                <w:sz w:val="22"/>
                <w:szCs w:val="22"/>
              </w:rPr>
              <w:t xml:space="preserve">: </w:t>
            </w:r>
            <w:r w:rsidRPr="00160CD2">
              <w:rPr>
                <w:rFonts w:ascii="Tahoma" w:hAnsi="Tahoma" w:cs="Tahoma"/>
                <w:b/>
                <w:bCs/>
                <w:sz w:val="22"/>
                <w:szCs w:val="22"/>
              </w:rPr>
              <w:t>ESTRUCTURA ADMINISTRATIVA Y DIRECCIONAMIENTO ESTRATEGICO</w:t>
            </w:r>
            <w:r>
              <w:rPr>
                <w:rFonts w:ascii="Tahoma" w:hAnsi="Tahoma" w:cs="Tahoma"/>
                <w:b/>
                <w:bCs/>
                <w:sz w:val="22"/>
                <w:szCs w:val="22"/>
              </w:rPr>
              <w:t xml:space="preserve">: </w:t>
            </w:r>
            <w:r>
              <w:rPr>
                <w:rFonts w:ascii="Tahoma" w:hAnsi="Tahoma" w:cs="Tahoma"/>
                <w:bCs/>
                <w:sz w:val="22"/>
                <w:szCs w:val="22"/>
              </w:rPr>
              <w:t xml:space="preserve">Se firmó acta de compromiso entre la Alcaldía de Manizales y el Departamento Nacional de Planeación en el marco de la Estrategia de Acompañamiento Territorial Integral de Servicio al Ciudadano y se llevó a cabo 1 de las 4 reuniones programadas entre las áreas del servicio al ciudadano y la Alta Dirección. Este subcomponente presenta un avance de cumplimiento del </w:t>
            </w:r>
            <w:r w:rsidRPr="00FC7D02">
              <w:rPr>
                <w:rFonts w:ascii="Tahoma" w:hAnsi="Tahoma" w:cs="Tahoma"/>
                <w:b/>
                <w:bCs/>
                <w:sz w:val="22"/>
                <w:szCs w:val="22"/>
              </w:rPr>
              <w:t>62,5%.</w:t>
            </w:r>
          </w:p>
          <w:p w14:paraId="7506C0A4" w14:textId="77777777" w:rsidR="009C1DC3" w:rsidRDefault="009C1DC3" w:rsidP="00B848C8">
            <w:pPr>
              <w:jc w:val="both"/>
              <w:rPr>
                <w:rFonts w:ascii="Tahoma" w:hAnsi="Tahoma" w:cs="Tahoma"/>
                <w:b/>
                <w:bCs/>
                <w:sz w:val="22"/>
                <w:szCs w:val="22"/>
              </w:rPr>
            </w:pPr>
          </w:p>
          <w:p w14:paraId="74E57BE9" w14:textId="77777777" w:rsidR="002B15B4" w:rsidRPr="00160CD2" w:rsidRDefault="002B15B4" w:rsidP="00B848C8">
            <w:pPr>
              <w:jc w:val="both"/>
              <w:rPr>
                <w:rFonts w:ascii="Tahoma" w:hAnsi="Tahoma" w:cs="Tahoma"/>
                <w:b/>
                <w:bCs/>
                <w:sz w:val="22"/>
                <w:szCs w:val="22"/>
              </w:rPr>
            </w:pPr>
          </w:p>
          <w:p w14:paraId="4AAF74A2" w14:textId="77777777" w:rsidR="00B848C8" w:rsidRPr="00C6164F" w:rsidRDefault="00B848C8" w:rsidP="00B848C8">
            <w:pPr>
              <w:jc w:val="both"/>
              <w:rPr>
                <w:rFonts w:ascii="Tahoma" w:hAnsi="Tahoma" w:cs="Tahoma"/>
                <w:bCs/>
                <w:sz w:val="22"/>
                <w:szCs w:val="22"/>
              </w:rPr>
            </w:pPr>
            <w:r w:rsidRPr="00160CD2">
              <w:rPr>
                <w:rFonts w:ascii="Tahoma" w:hAnsi="Tahoma" w:cs="Tahoma"/>
                <w:b/>
                <w:bCs/>
                <w:sz w:val="22"/>
                <w:szCs w:val="22"/>
              </w:rPr>
              <w:lastRenderedPageBreak/>
              <w:t>Subcomponente 2</w:t>
            </w:r>
            <w:r>
              <w:rPr>
                <w:rFonts w:ascii="Tahoma" w:hAnsi="Tahoma" w:cs="Tahoma"/>
                <w:b/>
                <w:bCs/>
                <w:sz w:val="22"/>
                <w:szCs w:val="22"/>
              </w:rPr>
              <w:t xml:space="preserve">: </w:t>
            </w:r>
            <w:r w:rsidRPr="00160CD2">
              <w:rPr>
                <w:rFonts w:ascii="Tahoma" w:hAnsi="Tahoma" w:cs="Tahoma"/>
                <w:b/>
                <w:bCs/>
                <w:sz w:val="22"/>
                <w:szCs w:val="22"/>
              </w:rPr>
              <w:t>FORTALECIMIENTO DE LOS CANALES DE ATENCIÓN</w:t>
            </w:r>
            <w:r>
              <w:rPr>
                <w:rFonts w:ascii="Tahoma" w:hAnsi="Tahoma" w:cs="Tahoma"/>
                <w:b/>
                <w:bCs/>
                <w:sz w:val="22"/>
                <w:szCs w:val="22"/>
              </w:rPr>
              <w:t xml:space="preserve">: </w:t>
            </w:r>
            <w:r w:rsidRPr="000A2ABC">
              <w:rPr>
                <w:rFonts w:ascii="Tahoma" w:hAnsi="Tahoma" w:cs="Tahoma"/>
                <w:bCs/>
                <w:sz w:val="22"/>
                <w:szCs w:val="22"/>
              </w:rPr>
              <w:t>E</w:t>
            </w:r>
            <w:r>
              <w:rPr>
                <w:rFonts w:ascii="Tahoma" w:hAnsi="Tahoma" w:cs="Tahoma"/>
                <w:bCs/>
                <w:sz w:val="22"/>
                <w:szCs w:val="22"/>
              </w:rPr>
              <w:t xml:space="preserve">n desarrollo de este componente, se evidencian acciones tendientes a la actualización de los datos de contacto de los servidores públicos responsables de la atención a quejas y reclamos, para ser publicadas en la página web de la Alcaldía, incluidos los de las </w:t>
            </w:r>
            <w:r w:rsidRPr="00C6164F">
              <w:rPr>
                <w:rFonts w:ascii="Tahoma" w:hAnsi="Tahoma" w:cs="Tahoma"/>
                <w:bCs/>
                <w:sz w:val="22"/>
                <w:szCs w:val="22"/>
              </w:rPr>
              <w:t>inspecciones de policía</w:t>
            </w:r>
            <w:r>
              <w:rPr>
                <w:rFonts w:ascii="Tahoma" w:hAnsi="Tahoma" w:cs="Tahoma"/>
                <w:bCs/>
                <w:sz w:val="22"/>
                <w:szCs w:val="22"/>
              </w:rPr>
              <w:t xml:space="preserve">, se diseñó los </w:t>
            </w:r>
            <w:r w:rsidRPr="00C6164F">
              <w:rPr>
                <w:rFonts w:ascii="Tahoma" w:hAnsi="Tahoma" w:cs="Tahoma"/>
                <w:bCs/>
                <w:sz w:val="22"/>
                <w:szCs w:val="22"/>
              </w:rPr>
              <w:t>volantes  "Ahora la Alcaldía te hace la vida más fácil" y "Trámites que se realizan en Ventanilla Única"</w:t>
            </w:r>
            <w:r>
              <w:rPr>
                <w:rFonts w:ascii="Tahoma" w:hAnsi="Tahoma" w:cs="Tahoma"/>
                <w:bCs/>
                <w:sz w:val="22"/>
                <w:szCs w:val="22"/>
              </w:rPr>
              <w:t>, s</w:t>
            </w:r>
            <w:r w:rsidRPr="00C6164F">
              <w:rPr>
                <w:rFonts w:ascii="Tahoma" w:hAnsi="Tahoma" w:cs="Tahoma"/>
                <w:bCs/>
                <w:sz w:val="22"/>
                <w:szCs w:val="22"/>
              </w:rPr>
              <w:t xml:space="preserve">e incluyó en el plan de capacitación </w:t>
            </w:r>
            <w:r>
              <w:rPr>
                <w:rFonts w:ascii="Tahoma" w:hAnsi="Tahoma" w:cs="Tahoma"/>
                <w:bCs/>
                <w:sz w:val="22"/>
                <w:szCs w:val="22"/>
              </w:rPr>
              <w:t xml:space="preserve">municipal </w:t>
            </w:r>
            <w:r w:rsidRPr="00C6164F">
              <w:rPr>
                <w:rFonts w:ascii="Tahoma" w:hAnsi="Tahoma" w:cs="Tahoma"/>
                <w:bCs/>
                <w:sz w:val="22"/>
                <w:szCs w:val="22"/>
              </w:rPr>
              <w:t>para el año 2016</w:t>
            </w:r>
            <w:r>
              <w:rPr>
                <w:rFonts w:ascii="Tahoma" w:hAnsi="Tahoma" w:cs="Tahoma"/>
                <w:bCs/>
                <w:sz w:val="22"/>
                <w:szCs w:val="22"/>
              </w:rPr>
              <w:t xml:space="preserve">, la capacitación a 200 funcionarios orientadores o anfitriones encargados de realizar el primer contacto con el público de las </w:t>
            </w:r>
            <w:r w:rsidRPr="00C6164F">
              <w:rPr>
                <w:rFonts w:ascii="Tahoma" w:hAnsi="Tahoma" w:cs="Tahoma"/>
                <w:bCs/>
                <w:sz w:val="22"/>
                <w:szCs w:val="22"/>
              </w:rPr>
              <w:t xml:space="preserve">áreas </w:t>
            </w:r>
            <w:r>
              <w:rPr>
                <w:rFonts w:ascii="Tahoma" w:hAnsi="Tahoma" w:cs="Tahoma"/>
                <w:bCs/>
                <w:sz w:val="22"/>
                <w:szCs w:val="22"/>
              </w:rPr>
              <w:t xml:space="preserve">del </w:t>
            </w:r>
            <w:r w:rsidRPr="00C6164F">
              <w:rPr>
                <w:rFonts w:ascii="Tahoma" w:hAnsi="Tahoma" w:cs="Tahoma"/>
                <w:bCs/>
                <w:sz w:val="22"/>
                <w:szCs w:val="22"/>
              </w:rPr>
              <w:t>SISBEN, Ventanilla Única, Régimen Subsidiado, Desarrollo Social</w:t>
            </w:r>
            <w:r>
              <w:rPr>
                <w:rFonts w:ascii="Tahoma" w:hAnsi="Tahoma" w:cs="Tahoma"/>
                <w:bCs/>
                <w:sz w:val="22"/>
                <w:szCs w:val="22"/>
              </w:rPr>
              <w:t>, y además un funcionario por cada dependencia, se han diseñado y realizado c</w:t>
            </w:r>
            <w:r w:rsidRPr="00C6164F">
              <w:rPr>
                <w:rFonts w:ascii="Tahoma" w:hAnsi="Tahoma" w:cs="Tahoma"/>
                <w:bCs/>
                <w:sz w:val="22"/>
                <w:szCs w:val="22"/>
              </w:rPr>
              <w:t xml:space="preserve">ampañas </w:t>
            </w:r>
            <w:r>
              <w:rPr>
                <w:rFonts w:ascii="Tahoma" w:hAnsi="Tahoma" w:cs="Tahoma"/>
                <w:bCs/>
                <w:sz w:val="22"/>
                <w:szCs w:val="22"/>
              </w:rPr>
              <w:t xml:space="preserve">y folletos </w:t>
            </w:r>
            <w:r w:rsidRPr="00C6164F">
              <w:rPr>
                <w:rFonts w:ascii="Tahoma" w:hAnsi="Tahoma" w:cs="Tahoma"/>
                <w:bCs/>
                <w:sz w:val="22"/>
                <w:szCs w:val="22"/>
              </w:rPr>
              <w:t xml:space="preserve">en coordinación con </w:t>
            </w:r>
            <w:r>
              <w:rPr>
                <w:rFonts w:ascii="Tahoma" w:hAnsi="Tahoma" w:cs="Tahoma"/>
                <w:bCs/>
                <w:sz w:val="22"/>
                <w:szCs w:val="22"/>
              </w:rPr>
              <w:t xml:space="preserve">la Oficina de Divulgación y Prensa sobre la </w:t>
            </w:r>
            <w:r w:rsidRPr="00C6164F">
              <w:rPr>
                <w:rFonts w:ascii="Tahoma" w:hAnsi="Tahoma" w:cs="Tahoma"/>
                <w:bCs/>
                <w:sz w:val="22"/>
                <w:szCs w:val="22"/>
              </w:rPr>
              <w:t xml:space="preserve">campaña "Contesta el teléfono por favor", </w:t>
            </w:r>
            <w:r>
              <w:rPr>
                <w:rFonts w:ascii="Tahoma" w:hAnsi="Tahoma" w:cs="Tahoma"/>
                <w:bCs/>
                <w:sz w:val="22"/>
                <w:szCs w:val="22"/>
              </w:rPr>
              <w:t>manejo de</w:t>
            </w:r>
            <w:r w:rsidRPr="00C6164F">
              <w:rPr>
                <w:rFonts w:ascii="Tahoma" w:hAnsi="Tahoma" w:cs="Tahoma"/>
                <w:bCs/>
                <w:sz w:val="22"/>
                <w:szCs w:val="22"/>
              </w:rPr>
              <w:t xml:space="preserve"> PQRS y manejo de correspondencia.</w:t>
            </w:r>
            <w:r w:rsidRPr="000A2ABC">
              <w:rPr>
                <w:rFonts w:ascii="Tahoma" w:hAnsi="Tahoma" w:cs="Tahoma"/>
                <w:bCs/>
                <w:sz w:val="22"/>
                <w:szCs w:val="22"/>
              </w:rPr>
              <w:t xml:space="preserve"> </w:t>
            </w:r>
            <w:r>
              <w:rPr>
                <w:rFonts w:ascii="Tahoma" w:hAnsi="Tahoma" w:cs="Tahoma"/>
                <w:bCs/>
                <w:sz w:val="22"/>
                <w:szCs w:val="22"/>
              </w:rPr>
              <w:t xml:space="preserve">Se determina un avance de cumplimiento de este subcomponente del </w:t>
            </w:r>
            <w:r w:rsidRPr="00FC7D02">
              <w:rPr>
                <w:rFonts w:ascii="Tahoma" w:hAnsi="Tahoma" w:cs="Tahoma"/>
                <w:b/>
                <w:bCs/>
                <w:sz w:val="22"/>
                <w:szCs w:val="22"/>
              </w:rPr>
              <w:t>11.42%,</w:t>
            </w:r>
            <w:r>
              <w:rPr>
                <w:rFonts w:ascii="Tahoma" w:hAnsi="Tahoma" w:cs="Tahoma"/>
                <w:bCs/>
                <w:sz w:val="22"/>
                <w:szCs w:val="22"/>
              </w:rPr>
              <w:t xml:space="preserve"> toda vez que la mayoría de actividades están definidas para realizarse a lo largo de la presente vigencia y hasta el 30 de noviembre de 2016.</w:t>
            </w:r>
          </w:p>
          <w:p w14:paraId="481A4CEF" w14:textId="77777777" w:rsidR="00B848C8" w:rsidRPr="009C1DC3" w:rsidRDefault="00B848C8" w:rsidP="00B848C8">
            <w:pPr>
              <w:jc w:val="both"/>
              <w:rPr>
                <w:rFonts w:ascii="Tahoma" w:hAnsi="Tahoma" w:cs="Tahoma"/>
                <w:b/>
                <w:bCs/>
                <w:sz w:val="12"/>
                <w:szCs w:val="12"/>
              </w:rPr>
            </w:pPr>
          </w:p>
          <w:p w14:paraId="34063DBF" w14:textId="099FF275" w:rsidR="00B848C8" w:rsidRDefault="00B848C8" w:rsidP="00B848C8">
            <w:pPr>
              <w:jc w:val="both"/>
              <w:rPr>
                <w:rFonts w:ascii="Tahoma" w:hAnsi="Tahoma" w:cs="Tahoma"/>
                <w:bCs/>
                <w:sz w:val="22"/>
                <w:szCs w:val="22"/>
              </w:rPr>
            </w:pPr>
            <w:r w:rsidRPr="00160CD2">
              <w:rPr>
                <w:rFonts w:ascii="Tahoma" w:hAnsi="Tahoma" w:cs="Tahoma"/>
                <w:b/>
                <w:bCs/>
                <w:sz w:val="22"/>
                <w:szCs w:val="22"/>
              </w:rPr>
              <w:t>Subcomponente 3</w:t>
            </w:r>
            <w:r>
              <w:rPr>
                <w:rFonts w:ascii="Tahoma" w:hAnsi="Tahoma" w:cs="Tahoma"/>
                <w:b/>
                <w:bCs/>
                <w:sz w:val="22"/>
                <w:szCs w:val="22"/>
              </w:rPr>
              <w:t xml:space="preserve">: </w:t>
            </w:r>
            <w:r w:rsidRPr="00160CD2">
              <w:rPr>
                <w:rFonts w:ascii="Tahoma" w:hAnsi="Tahoma" w:cs="Tahoma"/>
                <w:b/>
                <w:bCs/>
                <w:sz w:val="22"/>
                <w:szCs w:val="22"/>
              </w:rPr>
              <w:t>TALENTO HUMANO (antes llamado: AFIANZAR LA CULTURA DE SERVICIO AL CIUDAD</w:t>
            </w:r>
            <w:r>
              <w:rPr>
                <w:rFonts w:ascii="Tahoma" w:hAnsi="Tahoma" w:cs="Tahoma"/>
                <w:b/>
                <w:bCs/>
                <w:sz w:val="22"/>
                <w:szCs w:val="22"/>
              </w:rPr>
              <w:t xml:space="preserve">ANO EN LOS SERVIDORES PÚBLICOS): </w:t>
            </w:r>
            <w:r w:rsidRPr="000E4BAB">
              <w:rPr>
                <w:rFonts w:ascii="Tahoma" w:hAnsi="Tahoma" w:cs="Tahoma"/>
                <w:bCs/>
                <w:sz w:val="22"/>
                <w:szCs w:val="22"/>
              </w:rPr>
              <w:t>En desarrollo de este subcomponente</w:t>
            </w:r>
            <w:r>
              <w:rPr>
                <w:rFonts w:ascii="Tahoma" w:hAnsi="Tahoma" w:cs="Tahoma"/>
                <w:bCs/>
                <w:sz w:val="22"/>
                <w:szCs w:val="22"/>
              </w:rPr>
              <w:t>, al igual que el anterior, s</w:t>
            </w:r>
            <w:r w:rsidRPr="00C6164F">
              <w:rPr>
                <w:rFonts w:ascii="Tahoma" w:hAnsi="Tahoma" w:cs="Tahoma"/>
                <w:bCs/>
                <w:sz w:val="22"/>
                <w:szCs w:val="22"/>
              </w:rPr>
              <w:t xml:space="preserve">e incluyó en el plan de capacitación </w:t>
            </w:r>
            <w:r>
              <w:rPr>
                <w:rFonts w:ascii="Tahoma" w:hAnsi="Tahoma" w:cs="Tahoma"/>
                <w:bCs/>
                <w:sz w:val="22"/>
                <w:szCs w:val="22"/>
              </w:rPr>
              <w:t xml:space="preserve">municipal </w:t>
            </w:r>
            <w:r w:rsidRPr="00C6164F">
              <w:rPr>
                <w:rFonts w:ascii="Tahoma" w:hAnsi="Tahoma" w:cs="Tahoma"/>
                <w:bCs/>
                <w:sz w:val="22"/>
                <w:szCs w:val="22"/>
              </w:rPr>
              <w:t>para el año 2016</w:t>
            </w:r>
            <w:r>
              <w:rPr>
                <w:rFonts w:ascii="Tahoma" w:hAnsi="Tahoma" w:cs="Tahoma"/>
                <w:bCs/>
                <w:sz w:val="22"/>
                <w:szCs w:val="22"/>
              </w:rPr>
              <w:t xml:space="preserve">, la capacitación a 200 funcionarios orientadores o anfitriones encargados de realizar el primer contacto con el público de las </w:t>
            </w:r>
            <w:r w:rsidRPr="00C6164F">
              <w:rPr>
                <w:rFonts w:ascii="Tahoma" w:hAnsi="Tahoma" w:cs="Tahoma"/>
                <w:bCs/>
                <w:sz w:val="22"/>
                <w:szCs w:val="22"/>
              </w:rPr>
              <w:t xml:space="preserve">áreas </w:t>
            </w:r>
            <w:r>
              <w:rPr>
                <w:rFonts w:ascii="Tahoma" w:hAnsi="Tahoma" w:cs="Tahoma"/>
                <w:bCs/>
                <w:sz w:val="22"/>
                <w:szCs w:val="22"/>
              </w:rPr>
              <w:t xml:space="preserve">del </w:t>
            </w:r>
            <w:r w:rsidRPr="00C6164F">
              <w:rPr>
                <w:rFonts w:ascii="Tahoma" w:hAnsi="Tahoma" w:cs="Tahoma"/>
                <w:bCs/>
                <w:sz w:val="22"/>
                <w:szCs w:val="22"/>
              </w:rPr>
              <w:t>SISBEN, Ventanilla Única, Régimen Subsidiado, Desarrollo Social</w:t>
            </w:r>
            <w:r>
              <w:rPr>
                <w:rFonts w:ascii="Tahoma" w:hAnsi="Tahoma" w:cs="Tahoma"/>
                <w:bCs/>
                <w:sz w:val="22"/>
                <w:szCs w:val="22"/>
              </w:rPr>
              <w:t>, y además un funcionario por cada dependencia, y se han diseñado y realizado c</w:t>
            </w:r>
            <w:r w:rsidRPr="00C6164F">
              <w:rPr>
                <w:rFonts w:ascii="Tahoma" w:hAnsi="Tahoma" w:cs="Tahoma"/>
                <w:bCs/>
                <w:sz w:val="22"/>
                <w:szCs w:val="22"/>
              </w:rPr>
              <w:t xml:space="preserve">ampañas </w:t>
            </w:r>
            <w:r>
              <w:rPr>
                <w:rFonts w:ascii="Tahoma" w:hAnsi="Tahoma" w:cs="Tahoma"/>
                <w:bCs/>
                <w:sz w:val="22"/>
                <w:szCs w:val="22"/>
              </w:rPr>
              <w:t xml:space="preserve">y folletos </w:t>
            </w:r>
            <w:r w:rsidRPr="00C6164F">
              <w:rPr>
                <w:rFonts w:ascii="Tahoma" w:hAnsi="Tahoma" w:cs="Tahoma"/>
                <w:bCs/>
                <w:sz w:val="22"/>
                <w:szCs w:val="22"/>
              </w:rPr>
              <w:t xml:space="preserve">en coordinación con </w:t>
            </w:r>
            <w:r>
              <w:rPr>
                <w:rFonts w:ascii="Tahoma" w:hAnsi="Tahoma" w:cs="Tahoma"/>
                <w:bCs/>
                <w:sz w:val="22"/>
                <w:szCs w:val="22"/>
              </w:rPr>
              <w:t xml:space="preserve">la Oficina de Divulgación y Prensa sobre la </w:t>
            </w:r>
            <w:r w:rsidRPr="00C6164F">
              <w:rPr>
                <w:rFonts w:ascii="Tahoma" w:hAnsi="Tahoma" w:cs="Tahoma"/>
                <w:bCs/>
                <w:sz w:val="22"/>
                <w:szCs w:val="22"/>
              </w:rPr>
              <w:t xml:space="preserve">campaña "Contesta el teléfono por favor", </w:t>
            </w:r>
            <w:r>
              <w:rPr>
                <w:rFonts w:ascii="Tahoma" w:hAnsi="Tahoma" w:cs="Tahoma"/>
                <w:bCs/>
                <w:sz w:val="22"/>
                <w:szCs w:val="22"/>
              </w:rPr>
              <w:t>manejo de</w:t>
            </w:r>
            <w:r w:rsidRPr="00C6164F">
              <w:rPr>
                <w:rFonts w:ascii="Tahoma" w:hAnsi="Tahoma" w:cs="Tahoma"/>
                <w:bCs/>
                <w:sz w:val="22"/>
                <w:szCs w:val="22"/>
              </w:rPr>
              <w:t xml:space="preserve"> PQRS y manejo de correspondencia</w:t>
            </w:r>
            <w:r>
              <w:rPr>
                <w:rFonts w:ascii="Tahoma" w:hAnsi="Tahoma" w:cs="Tahoma"/>
                <w:bCs/>
                <w:sz w:val="22"/>
                <w:szCs w:val="22"/>
              </w:rPr>
              <w:t xml:space="preserve">, presentando un avance de cumplimiento del </w:t>
            </w:r>
            <w:r w:rsidRPr="00FC7D02">
              <w:rPr>
                <w:rFonts w:ascii="Tahoma" w:hAnsi="Tahoma" w:cs="Tahoma"/>
                <w:b/>
                <w:bCs/>
                <w:sz w:val="22"/>
                <w:szCs w:val="22"/>
              </w:rPr>
              <w:t>10%,</w:t>
            </w:r>
            <w:r>
              <w:rPr>
                <w:rFonts w:ascii="Tahoma" w:hAnsi="Tahoma" w:cs="Tahoma"/>
                <w:bCs/>
                <w:sz w:val="22"/>
                <w:szCs w:val="22"/>
              </w:rPr>
              <w:t xml:space="preserve"> toda vez que las demás actividades tienen programada fecha de cumplimiento hasta el 30 de noviembre de 2016.</w:t>
            </w:r>
          </w:p>
          <w:p w14:paraId="6E7BA8D1" w14:textId="77777777" w:rsidR="00B848C8" w:rsidRPr="009C1DC3" w:rsidRDefault="00B848C8" w:rsidP="00B848C8">
            <w:pPr>
              <w:jc w:val="both"/>
              <w:rPr>
                <w:rFonts w:ascii="Tahoma" w:hAnsi="Tahoma" w:cs="Tahoma"/>
                <w:b/>
                <w:bCs/>
                <w:sz w:val="12"/>
                <w:szCs w:val="12"/>
              </w:rPr>
            </w:pPr>
          </w:p>
          <w:p w14:paraId="1908515D" w14:textId="77777777" w:rsidR="00B848C8" w:rsidRPr="00FC7D02" w:rsidRDefault="00B848C8" w:rsidP="00B848C8">
            <w:pPr>
              <w:jc w:val="both"/>
              <w:rPr>
                <w:rFonts w:ascii="Tahoma" w:hAnsi="Tahoma" w:cs="Tahoma"/>
                <w:b/>
                <w:bCs/>
                <w:sz w:val="22"/>
                <w:szCs w:val="22"/>
              </w:rPr>
            </w:pPr>
            <w:r w:rsidRPr="00160CD2">
              <w:rPr>
                <w:rFonts w:ascii="Tahoma" w:hAnsi="Tahoma" w:cs="Tahoma"/>
                <w:b/>
                <w:bCs/>
                <w:sz w:val="22"/>
                <w:szCs w:val="22"/>
              </w:rPr>
              <w:t>Subcomponente 4</w:t>
            </w:r>
            <w:r>
              <w:rPr>
                <w:rFonts w:ascii="Tahoma" w:hAnsi="Tahoma" w:cs="Tahoma"/>
                <w:b/>
                <w:bCs/>
                <w:sz w:val="22"/>
                <w:szCs w:val="22"/>
              </w:rPr>
              <w:t xml:space="preserve">: </w:t>
            </w:r>
            <w:r w:rsidRPr="00160CD2">
              <w:rPr>
                <w:rFonts w:ascii="Tahoma" w:hAnsi="Tahoma" w:cs="Tahoma"/>
                <w:b/>
                <w:bCs/>
                <w:sz w:val="22"/>
                <w:szCs w:val="22"/>
              </w:rPr>
              <w:t>NORMATIVO Y PROCEDIMIENTAL</w:t>
            </w:r>
            <w:r>
              <w:rPr>
                <w:rFonts w:ascii="Tahoma" w:hAnsi="Tahoma" w:cs="Tahoma"/>
                <w:b/>
                <w:bCs/>
                <w:sz w:val="22"/>
                <w:szCs w:val="22"/>
              </w:rPr>
              <w:t xml:space="preserve">: </w:t>
            </w:r>
            <w:r>
              <w:rPr>
                <w:rFonts w:ascii="Tahoma" w:hAnsi="Tahoma" w:cs="Tahoma"/>
                <w:bCs/>
                <w:sz w:val="22"/>
                <w:szCs w:val="22"/>
              </w:rPr>
              <w:t xml:space="preserve">Este subcomponente no registra avances en su ejecución, motivo por el cual su evaluación es del </w:t>
            </w:r>
            <w:r w:rsidRPr="00FC7D02">
              <w:rPr>
                <w:rFonts w:ascii="Tahoma" w:hAnsi="Tahoma" w:cs="Tahoma"/>
                <w:b/>
                <w:bCs/>
                <w:sz w:val="22"/>
                <w:szCs w:val="22"/>
              </w:rPr>
              <w:t>0%.</w:t>
            </w:r>
          </w:p>
          <w:p w14:paraId="6F2624F0" w14:textId="77777777" w:rsidR="00B848C8" w:rsidRPr="009C1DC3" w:rsidRDefault="00B848C8" w:rsidP="00B848C8">
            <w:pPr>
              <w:jc w:val="both"/>
              <w:rPr>
                <w:rFonts w:ascii="Tahoma" w:hAnsi="Tahoma" w:cs="Tahoma"/>
                <w:b/>
                <w:bCs/>
                <w:sz w:val="12"/>
                <w:szCs w:val="12"/>
              </w:rPr>
            </w:pPr>
          </w:p>
          <w:p w14:paraId="7157A29E" w14:textId="0A249A92" w:rsidR="00325575" w:rsidRPr="003D2336" w:rsidRDefault="00B848C8" w:rsidP="009C1DC3">
            <w:pPr>
              <w:jc w:val="both"/>
              <w:rPr>
                <w:rFonts w:ascii="Tahoma" w:hAnsi="Tahoma" w:cs="Tahoma"/>
                <w:b/>
                <w:bCs/>
                <w:sz w:val="22"/>
                <w:szCs w:val="22"/>
              </w:rPr>
            </w:pPr>
            <w:r w:rsidRPr="00160CD2">
              <w:rPr>
                <w:rFonts w:ascii="Tahoma" w:hAnsi="Tahoma" w:cs="Tahoma"/>
                <w:b/>
                <w:bCs/>
                <w:sz w:val="22"/>
                <w:szCs w:val="22"/>
              </w:rPr>
              <w:t>Subcomponente 5</w:t>
            </w:r>
            <w:r>
              <w:rPr>
                <w:rFonts w:ascii="Tahoma" w:hAnsi="Tahoma" w:cs="Tahoma"/>
                <w:b/>
                <w:bCs/>
                <w:sz w:val="22"/>
                <w:szCs w:val="22"/>
              </w:rPr>
              <w:t xml:space="preserve">: </w:t>
            </w:r>
            <w:r w:rsidRPr="00160CD2">
              <w:rPr>
                <w:rFonts w:ascii="Tahoma" w:hAnsi="Tahoma" w:cs="Tahoma"/>
                <w:b/>
                <w:bCs/>
                <w:sz w:val="22"/>
                <w:szCs w:val="22"/>
              </w:rPr>
              <w:t>RELACIONAMIENTO CON EL CIUDADANO</w:t>
            </w:r>
            <w:r>
              <w:rPr>
                <w:rFonts w:ascii="Tahoma" w:hAnsi="Tahoma" w:cs="Tahoma"/>
                <w:b/>
                <w:bCs/>
                <w:sz w:val="22"/>
                <w:szCs w:val="22"/>
              </w:rPr>
              <w:t xml:space="preserve">: </w:t>
            </w:r>
            <w:r>
              <w:rPr>
                <w:rFonts w:ascii="Tahoma" w:hAnsi="Tahoma" w:cs="Tahoma"/>
                <w:bCs/>
                <w:sz w:val="22"/>
                <w:szCs w:val="22"/>
              </w:rPr>
              <w:t xml:space="preserve">En desarrollo de este subcomponente se observan </w:t>
            </w:r>
            <w:r w:rsidRPr="00E96F4A">
              <w:rPr>
                <w:rFonts w:ascii="Tahoma" w:hAnsi="Tahoma" w:cs="Tahoma"/>
                <w:bCs/>
                <w:sz w:val="22"/>
                <w:szCs w:val="22"/>
              </w:rPr>
              <w:t>volante</w:t>
            </w:r>
            <w:r>
              <w:rPr>
                <w:rFonts w:ascii="Tahoma" w:hAnsi="Tahoma" w:cs="Tahoma"/>
                <w:bCs/>
                <w:sz w:val="22"/>
                <w:szCs w:val="22"/>
              </w:rPr>
              <w:t>s</w:t>
            </w:r>
            <w:r w:rsidRPr="00E96F4A">
              <w:rPr>
                <w:rFonts w:ascii="Tahoma" w:hAnsi="Tahoma" w:cs="Tahoma"/>
                <w:bCs/>
                <w:sz w:val="22"/>
                <w:szCs w:val="22"/>
              </w:rPr>
              <w:t xml:space="preserve"> </w:t>
            </w:r>
            <w:r>
              <w:rPr>
                <w:rFonts w:ascii="Tahoma" w:hAnsi="Tahoma" w:cs="Tahoma"/>
                <w:bCs/>
                <w:sz w:val="22"/>
                <w:szCs w:val="22"/>
              </w:rPr>
              <w:t xml:space="preserve">sobre </w:t>
            </w:r>
            <w:r w:rsidRPr="00E96F4A">
              <w:rPr>
                <w:rFonts w:ascii="Tahoma" w:hAnsi="Tahoma" w:cs="Tahoma"/>
                <w:bCs/>
                <w:sz w:val="22"/>
                <w:szCs w:val="22"/>
              </w:rPr>
              <w:t xml:space="preserve">los trámites que se realizan en Ventanilla </w:t>
            </w:r>
            <w:r>
              <w:rPr>
                <w:rFonts w:ascii="Tahoma" w:hAnsi="Tahoma" w:cs="Tahoma"/>
                <w:bCs/>
                <w:sz w:val="22"/>
                <w:szCs w:val="22"/>
              </w:rPr>
              <w:t>Úni</w:t>
            </w:r>
            <w:r w:rsidRPr="00E96F4A">
              <w:rPr>
                <w:rFonts w:ascii="Tahoma" w:hAnsi="Tahoma" w:cs="Tahoma"/>
                <w:bCs/>
                <w:sz w:val="22"/>
                <w:szCs w:val="22"/>
              </w:rPr>
              <w:t>ca</w:t>
            </w:r>
            <w:r>
              <w:rPr>
                <w:rFonts w:ascii="Tahoma" w:hAnsi="Tahoma" w:cs="Tahoma"/>
                <w:bCs/>
                <w:sz w:val="22"/>
                <w:szCs w:val="22"/>
              </w:rPr>
              <w:t xml:space="preserve">, además de </w:t>
            </w:r>
            <w:r w:rsidRPr="00E96F4A">
              <w:rPr>
                <w:rFonts w:ascii="Tahoma" w:hAnsi="Tahoma" w:cs="Tahoma"/>
                <w:bCs/>
                <w:sz w:val="22"/>
                <w:szCs w:val="22"/>
              </w:rPr>
              <w:t>publicidad a los trámites implementados vía web</w:t>
            </w:r>
            <w:r>
              <w:rPr>
                <w:rFonts w:ascii="Tahoma" w:hAnsi="Tahoma" w:cs="Tahoma"/>
                <w:bCs/>
                <w:sz w:val="22"/>
                <w:szCs w:val="22"/>
              </w:rPr>
              <w:t xml:space="preserve">, </w:t>
            </w:r>
            <w:r w:rsidRPr="00E96F4A">
              <w:rPr>
                <w:rFonts w:ascii="Tahoma" w:hAnsi="Tahoma" w:cs="Tahoma"/>
                <w:bCs/>
                <w:sz w:val="22"/>
                <w:szCs w:val="22"/>
              </w:rPr>
              <w:t>a través de boletines de prensa</w:t>
            </w:r>
            <w:r>
              <w:rPr>
                <w:rFonts w:ascii="Tahoma" w:hAnsi="Tahoma" w:cs="Tahoma"/>
                <w:bCs/>
                <w:sz w:val="22"/>
                <w:szCs w:val="22"/>
              </w:rPr>
              <w:t xml:space="preserve">, lo cual permite valorar en un </w:t>
            </w:r>
            <w:r w:rsidRPr="00FC7D02">
              <w:rPr>
                <w:rFonts w:ascii="Tahoma" w:hAnsi="Tahoma" w:cs="Tahoma"/>
                <w:b/>
                <w:bCs/>
                <w:sz w:val="22"/>
                <w:szCs w:val="22"/>
              </w:rPr>
              <w:t>3%</w:t>
            </w:r>
            <w:r>
              <w:rPr>
                <w:rFonts w:ascii="Tahoma" w:hAnsi="Tahoma" w:cs="Tahoma"/>
                <w:bCs/>
                <w:sz w:val="22"/>
                <w:szCs w:val="22"/>
              </w:rPr>
              <w:t xml:space="preserve"> el cumplimiento de las acciones definidas en este subcomponente, toda vez que las demás actividades establecidas no registran avances a la fecha de la presente auditoría, debido a que están programadas para ejecutarse a lo largo del presente año 2016 y hasta el 30 de noviembre del mismo año.</w:t>
            </w:r>
          </w:p>
        </w:tc>
      </w:tr>
      <w:tr w:rsidR="00325575" w:rsidRPr="00880DA6" w14:paraId="35203295" w14:textId="77777777" w:rsidTr="00095FA2">
        <w:trPr>
          <w:trHeight w:val="660"/>
        </w:trPr>
        <w:tc>
          <w:tcPr>
            <w:tcW w:w="9054" w:type="dxa"/>
            <w:gridSpan w:val="2"/>
          </w:tcPr>
          <w:p w14:paraId="5CECF99D" w14:textId="77777777" w:rsidR="00B848C8" w:rsidRPr="00B848C8" w:rsidRDefault="00B848C8" w:rsidP="009C1DC3">
            <w:pPr>
              <w:ind w:left="450" w:hanging="450"/>
              <w:jc w:val="both"/>
              <w:rPr>
                <w:rFonts w:ascii="Tahoma" w:hAnsi="Tahoma" w:cs="Tahoma"/>
                <w:b/>
                <w:bCs/>
                <w:sz w:val="22"/>
                <w:szCs w:val="22"/>
              </w:rPr>
            </w:pPr>
            <w:r w:rsidRPr="00B848C8">
              <w:rPr>
                <w:rFonts w:ascii="Tahoma" w:hAnsi="Tahoma" w:cs="Tahoma"/>
                <w:b/>
                <w:bCs/>
                <w:sz w:val="22"/>
                <w:szCs w:val="22"/>
              </w:rPr>
              <w:lastRenderedPageBreak/>
              <w:t>6.5 COMPONENTE MECANISMOS PARA LA TRANSPARENCIA Y ACCESO DE LA INFORMACIÓN</w:t>
            </w:r>
          </w:p>
          <w:p w14:paraId="695A3A8D" w14:textId="77777777" w:rsidR="00325575" w:rsidRDefault="00325575" w:rsidP="00B848C8">
            <w:pPr>
              <w:pStyle w:val="Prrafodelista"/>
              <w:ind w:left="708"/>
              <w:jc w:val="both"/>
              <w:rPr>
                <w:rFonts w:ascii="Tahoma" w:hAnsi="Tahoma" w:cs="Tahoma"/>
                <w:b/>
                <w:bCs/>
                <w:sz w:val="22"/>
                <w:szCs w:val="22"/>
              </w:rPr>
            </w:pPr>
          </w:p>
          <w:p w14:paraId="0C752543" w14:textId="77777777" w:rsidR="00B848C8" w:rsidRPr="00F43252"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1</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ACTIVA</w:t>
            </w:r>
            <w:r>
              <w:rPr>
                <w:rFonts w:ascii="Tahoma" w:hAnsi="Tahoma" w:cs="Tahoma"/>
                <w:b/>
                <w:bCs/>
                <w:sz w:val="22"/>
                <w:szCs w:val="22"/>
                <w:lang w:val="es-CO"/>
              </w:rPr>
              <w:t xml:space="preserve">: </w:t>
            </w:r>
            <w:r>
              <w:rPr>
                <w:rFonts w:ascii="Tahoma" w:hAnsi="Tahoma" w:cs="Tahoma"/>
                <w:bCs/>
                <w:sz w:val="22"/>
                <w:szCs w:val="22"/>
                <w:lang w:val="es-CO"/>
              </w:rPr>
              <w:t xml:space="preserve">De las 38 actividades que hacen parte de este Subcomponente se han cumplido 34, toda vez que no se evidencian acciones de cumplimiento para las 4 restantes, que corresponden a la Publicación del mapa de riesgos de corrupción en la página web, pues solo se encuentran publicados hasta el 31 de diciembre de 2015,  no se ha implementado el módulo para generar certificados y constancias en línea, no se ha elaborado encuestas y otros (foros), referentes a la consulta y participación ciudadana y no se ha definido procedimiento para la conservación y retiro de la información que haya sido publicada en la página web.  Este subcomponente queda con una valoración de cumplimiento del </w:t>
            </w:r>
            <w:r w:rsidRPr="0018757A">
              <w:rPr>
                <w:rFonts w:ascii="Tahoma" w:hAnsi="Tahoma" w:cs="Tahoma"/>
                <w:b/>
                <w:bCs/>
                <w:sz w:val="22"/>
                <w:szCs w:val="22"/>
                <w:lang w:val="es-CO"/>
              </w:rPr>
              <w:t>89%</w:t>
            </w:r>
            <w:r>
              <w:rPr>
                <w:rFonts w:ascii="Tahoma" w:hAnsi="Tahoma" w:cs="Tahoma"/>
                <w:bCs/>
                <w:sz w:val="22"/>
                <w:szCs w:val="22"/>
                <w:lang w:val="es-CO"/>
              </w:rPr>
              <w:t xml:space="preserve">.  </w:t>
            </w:r>
          </w:p>
          <w:p w14:paraId="052338B6" w14:textId="77777777" w:rsidR="00B848C8" w:rsidRPr="00DF385F" w:rsidRDefault="00B848C8" w:rsidP="00B848C8">
            <w:pPr>
              <w:jc w:val="both"/>
              <w:rPr>
                <w:rFonts w:ascii="Tahoma" w:hAnsi="Tahoma" w:cs="Tahoma"/>
                <w:b/>
                <w:bCs/>
                <w:sz w:val="22"/>
                <w:szCs w:val="22"/>
                <w:lang w:val="es-CO"/>
              </w:rPr>
            </w:pPr>
          </w:p>
          <w:p w14:paraId="33434887" w14:textId="77777777"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2</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PASIVA</w:t>
            </w:r>
            <w:r>
              <w:rPr>
                <w:rFonts w:ascii="Tahoma" w:hAnsi="Tahoma" w:cs="Tahoma"/>
                <w:b/>
                <w:bCs/>
                <w:sz w:val="22"/>
                <w:szCs w:val="22"/>
                <w:lang w:val="es-CO"/>
              </w:rPr>
              <w:t xml:space="preserve">: </w:t>
            </w:r>
            <w:r>
              <w:rPr>
                <w:rFonts w:ascii="Tahoma" w:hAnsi="Tahoma" w:cs="Tahoma"/>
                <w:bCs/>
                <w:sz w:val="22"/>
                <w:szCs w:val="22"/>
                <w:lang w:val="es-CO"/>
              </w:rPr>
              <w:t xml:space="preserve">No se evidencian acciones para el cumplimiento de este Subcomponente, por tal motivo, su valoración es del </w:t>
            </w:r>
            <w:r w:rsidRPr="0018757A">
              <w:rPr>
                <w:rFonts w:ascii="Tahoma" w:hAnsi="Tahoma" w:cs="Tahoma"/>
                <w:b/>
                <w:bCs/>
                <w:sz w:val="22"/>
                <w:szCs w:val="22"/>
                <w:lang w:val="es-CO"/>
              </w:rPr>
              <w:t>0%</w:t>
            </w:r>
            <w:r>
              <w:rPr>
                <w:rFonts w:ascii="Tahoma" w:hAnsi="Tahoma" w:cs="Tahoma"/>
                <w:bCs/>
                <w:sz w:val="22"/>
                <w:szCs w:val="22"/>
                <w:lang w:val="es-CO"/>
              </w:rPr>
              <w:t>.</w:t>
            </w:r>
          </w:p>
          <w:p w14:paraId="3742358A" w14:textId="77777777" w:rsidR="00B848C8" w:rsidRDefault="00B848C8" w:rsidP="00B848C8">
            <w:pPr>
              <w:jc w:val="both"/>
              <w:rPr>
                <w:rFonts w:ascii="Tahoma" w:hAnsi="Tahoma" w:cs="Tahoma"/>
                <w:b/>
                <w:bCs/>
                <w:sz w:val="22"/>
                <w:szCs w:val="22"/>
                <w:lang w:val="es-CO"/>
              </w:rPr>
            </w:pPr>
          </w:p>
          <w:p w14:paraId="020CC874" w14:textId="77777777" w:rsidR="00B848C8" w:rsidRPr="000D4291"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3</w:t>
            </w:r>
            <w:r>
              <w:rPr>
                <w:rFonts w:ascii="Tahoma" w:hAnsi="Tahoma" w:cs="Tahoma"/>
                <w:b/>
                <w:bCs/>
                <w:sz w:val="22"/>
                <w:szCs w:val="22"/>
                <w:lang w:val="es-CO"/>
              </w:rPr>
              <w:t xml:space="preserve">: </w:t>
            </w:r>
            <w:r w:rsidRPr="00DF385F">
              <w:rPr>
                <w:rFonts w:ascii="Tahoma" w:hAnsi="Tahoma" w:cs="Tahoma"/>
                <w:b/>
                <w:bCs/>
                <w:sz w:val="22"/>
                <w:szCs w:val="22"/>
                <w:lang w:val="es-CO"/>
              </w:rPr>
              <w:t xml:space="preserve">ELABORACIÓN </w:t>
            </w:r>
            <w:r>
              <w:rPr>
                <w:rFonts w:ascii="Tahoma" w:hAnsi="Tahoma" w:cs="Tahoma"/>
                <w:b/>
                <w:bCs/>
                <w:sz w:val="22"/>
                <w:szCs w:val="22"/>
                <w:lang w:val="es-CO"/>
              </w:rPr>
              <w:t xml:space="preserve">DE </w:t>
            </w:r>
            <w:r w:rsidRPr="00DF385F">
              <w:rPr>
                <w:rFonts w:ascii="Tahoma" w:hAnsi="Tahoma" w:cs="Tahoma"/>
                <w:b/>
                <w:bCs/>
                <w:sz w:val="22"/>
                <w:szCs w:val="22"/>
                <w:lang w:val="es-CO"/>
              </w:rPr>
              <w:t>LOS INSTRUMENTOS</w:t>
            </w:r>
            <w:r>
              <w:rPr>
                <w:rFonts w:ascii="Tahoma" w:hAnsi="Tahoma" w:cs="Tahoma"/>
                <w:b/>
                <w:bCs/>
                <w:sz w:val="22"/>
                <w:szCs w:val="22"/>
                <w:lang w:val="es-CO"/>
              </w:rPr>
              <w:t xml:space="preserve"> </w:t>
            </w:r>
            <w:r w:rsidRPr="00DF385F">
              <w:rPr>
                <w:rFonts w:ascii="Tahoma" w:hAnsi="Tahoma" w:cs="Tahoma"/>
                <w:b/>
                <w:bCs/>
                <w:sz w:val="22"/>
                <w:szCs w:val="22"/>
                <w:lang w:val="es-CO"/>
              </w:rPr>
              <w:t>DE GESTIÓN DE LA</w:t>
            </w:r>
            <w:r>
              <w:rPr>
                <w:rFonts w:ascii="Tahoma" w:hAnsi="Tahoma" w:cs="Tahoma"/>
                <w:b/>
                <w:bCs/>
                <w:sz w:val="22"/>
                <w:szCs w:val="22"/>
                <w:lang w:val="es-CO"/>
              </w:rPr>
              <w:t xml:space="preserve"> </w:t>
            </w:r>
            <w:r w:rsidRPr="00DF385F">
              <w:rPr>
                <w:rFonts w:ascii="Tahoma" w:hAnsi="Tahoma" w:cs="Tahoma"/>
                <w:b/>
                <w:bCs/>
                <w:sz w:val="22"/>
                <w:szCs w:val="22"/>
                <w:lang w:val="es-CO"/>
              </w:rPr>
              <w:t>INFORMACIÓN</w:t>
            </w:r>
            <w:r>
              <w:rPr>
                <w:rFonts w:ascii="Tahoma" w:hAnsi="Tahoma" w:cs="Tahoma"/>
                <w:b/>
                <w:bCs/>
                <w:sz w:val="22"/>
                <w:szCs w:val="22"/>
                <w:lang w:val="es-CO"/>
              </w:rPr>
              <w:t xml:space="preserve">: </w:t>
            </w:r>
            <w:r>
              <w:rPr>
                <w:rFonts w:ascii="Tahoma" w:hAnsi="Tahoma" w:cs="Tahoma"/>
                <w:bCs/>
                <w:sz w:val="22"/>
                <w:szCs w:val="22"/>
                <w:lang w:val="es-CO"/>
              </w:rPr>
              <w:t xml:space="preserve">A la fecha del presente seguimiento, se encuentran cumplidas todas las acciones programadas en el cronograma, por lo tanto la valoración es del </w:t>
            </w:r>
            <w:r w:rsidRPr="0018757A">
              <w:rPr>
                <w:rFonts w:ascii="Tahoma" w:hAnsi="Tahoma" w:cs="Tahoma"/>
                <w:b/>
                <w:bCs/>
                <w:sz w:val="22"/>
                <w:szCs w:val="22"/>
                <w:lang w:val="es-CO"/>
              </w:rPr>
              <w:t>100%.</w:t>
            </w:r>
          </w:p>
          <w:p w14:paraId="3F72AB09" w14:textId="77777777" w:rsidR="00B848C8" w:rsidRPr="00DF385F" w:rsidRDefault="00B848C8" w:rsidP="00B848C8">
            <w:pPr>
              <w:jc w:val="both"/>
              <w:rPr>
                <w:rFonts w:ascii="Tahoma" w:hAnsi="Tahoma" w:cs="Tahoma"/>
                <w:b/>
                <w:bCs/>
                <w:sz w:val="22"/>
                <w:szCs w:val="22"/>
                <w:lang w:val="es-CO"/>
              </w:rPr>
            </w:pPr>
          </w:p>
          <w:p w14:paraId="2D184826" w14:textId="77777777"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4</w:t>
            </w:r>
            <w:r>
              <w:rPr>
                <w:rFonts w:ascii="Tahoma" w:hAnsi="Tahoma" w:cs="Tahoma"/>
                <w:b/>
                <w:bCs/>
                <w:sz w:val="22"/>
                <w:szCs w:val="22"/>
                <w:lang w:val="es-CO"/>
              </w:rPr>
              <w:t xml:space="preserve">: </w:t>
            </w:r>
            <w:r w:rsidRPr="00DF385F">
              <w:rPr>
                <w:rFonts w:ascii="Tahoma" w:hAnsi="Tahoma" w:cs="Tahoma"/>
                <w:b/>
                <w:bCs/>
                <w:sz w:val="22"/>
                <w:szCs w:val="22"/>
                <w:lang w:val="es-CO"/>
              </w:rPr>
              <w:t>CRITERIO DIFERENCIAL DE</w:t>
            </w:r>
            <w:r>
              <w:rPr>
                <w:rFonts w:ascii="Tahoma" w:hAnsi="Tahoma" w:cs="Tahoma"/>
                <w:b/>
                <w:bCs/>
                <w:sz w:val="22"/>
                <w:szCs w:val="22"/>
                <w:lang w:val="es-CO"/>
              </w:rPr>
              <w:t xml:space="preserve"> </w:t>
            </w:r>
            <w:r w:rsidRPr="00DF385F">
              <w:rPr>
                <w:rFonts w:ascii="Tahoma" w:hAnsi="Tahoma" w:cs="Tahoma"/>
                <w:b/>
                <w:bCs/>
                <w:sz w:val="22"/>
                <w:szCs w:val="22"/>
                <w:lang w:val="es-CO"/>
              </w:rPr>
              <w:t>ACCESIBILIDAD</w:t>
            </w:r>
            <w:r>
              <w:rPr>
                <w:rFonts w:ascii="Tahoma" w:hAnsi="Tahoma" w:cs="Tahoma"/>
                <w:b/>
                <w:bCs/>
                <w:sz w:val="22"/>
                <w:szCs w:val="22"/>
                <w:lang w:val="es-CO"/>
              </w:rPr>
              <w:t xml:space="preserve">: </w:t>
            </w:r>
            <w:r>
              <w:rPr>
                <w:rFonts w:ascii="Tahoma" w:hAnsi="Tahoma" w:cs="Tahoma"/>
                <w:bCs/>
                <w:sz w:val="22"/>
                <w:szCs w:val="22"/>
                <w:lang w:val="es-CO"/>
              </w:rPr>
              <w:t xml:space="preserve">No se observan acciones para el cumplimiento de este Subcomponente, por tal motivo, su valoración es del </w:t>
            </w:r>
            <w:r w:rsidRPr="0018757A">
              <w:rPr>
                <w:rFonts w:ascii="Tahoma" w:hAnsi="Tahoma" w:cs="Tahoma"/>
                <w:b/>
                <w:bCs/>
                <w:sz w:val="22"/>
                <w:szCs w:val="22"/>
                <w:lang w:val="es-CO"/>
              </w:rPr>
              <w:t>0%.</w:t>
            </w:r>
          </w:p>
          <w:p w14:paraId="1794960D" w14:textId="77777777" w:rsidR="00B848C8" w:rsidRDefault="00B848C8" w:rsidP="00B848C8">
            <w:pPr>
              <w:jc w:val="both"/>
              <w:rPr>
                <w:rFonts w:ascii="Tahoma" w:hAnsi="Tahoma" w:cs="Tahoma"/>
                <w:b/>
                <w:bCs/>
                <w:sz w:val="22"/>
                <w:szCs w:val="22"/>
                <w:lang w:val="es-CO"/>
              </w:rPr>
            </w:pPr>
          </w:p>
          <w:p w14:paraId="3A4D25B3" w14:textId="77777777" w:rsidR="00B848C8" w:rsidRPr="00AD60B2"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5</w:t>
            </w:r>
            <w:r>
              <w:rPr>
                <w:rFonts w:ascii="Tahoma" w:hAnsi="Tahoma" w:cs="Tahoma"/>
                <w:b/>
                <w:bCs/>
                <w:sz w:val="22"/>
                <w:szCs w:val="22"/>
                <w:lang w:val="es-CO"/>
              </w:rPr>
              <w:t xml:space="preserve">: </w:t>
            </w:r>
            <w:r w:rsidRPr="00DF385F">
              <w:rPr>
                <w:rFonts w:ascii="Tahoma" w:hAnsi="Tahoma" w:cs="Tahoma"/>
                <w:b/>
                <w:bCs/>
                <w:sz w:val="22"/>
                <w:szCs w:val="22"/>
                <w:lang w:val="es-CO"/>
              </w:rPr>
              <w:t>MONITOREO DEL ACCESO A</w:t>
            </w:r>
            <w:r>
              <w:rPr>
                <w:rFonts w:ascii="Tahoma" w:hAnsi="Tahoma" w:cs="Tahoma"/>
                <w:b/>
                <w:bCs/>
                <w:sz w:val="22"/>
                <w:szCs w:val="22"/>
                <w:lang w:val="es-CO"/>
              </w:rPr>
              <w:t xml:space="preserve"> </w:t>
            </w:r>
            <w:r w:rsidRPr="00DF385F">
              <w:rPr>
                <w:rFonts w:ascii="Tahoma" w:hAnsi="Tahoma" w:cs="Tahoma"/>
                <w:b/>
                <w:bCs/>
                <w:sz w:val="22"/>
                <w:szCs w:val="22"/>
                <w:lang w:val="es-CO"/>
              </w:rPr>
              <w:t>LA INFORMACIÓN PÚBLICA</w:t>
            </w:r>
            <w:r>
              <w:rPr>
                <w:rFonts w:ascii="Tahoma" w:hAnsi="Tahoma" w:cs="Tahoma"/>
                <w:b/>
                <w:bCs/>
                <w:sz w:val="22"/>
                <w:szCs w:val="22"/>
                <w:lang w:val="es-CO"/>
              </w:rPr>
              <w:t xml:space="preserve">: </w:t>
            </w:r>
            <w:r>
              <w:rPr>
                <w:rFonts w:ascii="Tahoma" w:hAnsi="Tahoma" w:cs="Tahoma"/>
                <w:bCs/>
                <w:sz w:val="22"/>
                <w:szCs w:val="22"/>
                <w:lang w:val="es-CO"/>
              </w:rPr>
              <w:t xml:space="preserve">A la fecha del presente seguimiento, se encuentran cumplidas todas las acciones programadas en el cronograma, por lo tanto la valoración es del </w:t>
            </w:r>
            <w:r w:rsidRPr="0018757A">
              <w:rPr>
                <w:rFonts w:ascii="Tahoma" w:hAnsi="Tahoma" w:cs="Tahoma"/>
                <w:b/>
                <w:bCs/>
                <w:sz w:val="22"/>
                <w:szCs w:val="22"/>
                <w:lang w:val="es-CO"/>
              </w:rPr>
              <w:t>100%.</w:t>
            </w:r>
          </w:p>
          <w:p w14:paraId="07B7E6DC" w14:textId="58251C9D" w:rsidR="00B848C8" w:rsidRPr="00B848C8" w:rsidRDefault="00B848C8" w:rsidP="00B848C8">
            <w:pPr>
              <w:pStyle w:val="Prrafodelista"/>
              <w:ind w:left="708"/>
              <w:jc w:val="both"/>
              <w:rPr>
                <w:rFonts w:ascii="Tahoma" w:hAnsi="Tahoma" w:cs="Tahoma"/>
                <w:b/>
                <w:bCs/>
                <w:sz w:val="22"/>
                <w:szCs w:val="22"/>
                <w:lang w:val="es-CO"/>
              </w:rPr>
            </w:pPr>
          </w:p>
        </w:tc>
      </w:tr>
      <w:tr w:rsidR="00177FB5" w:rsidRPr="00880DA6" w14:paraId="1B0BD2ED" w14:textId="77777777" w:rsidTr="00095FA2">
        <w:trPr>
          <w:trHeight w:val="660"/>
        </w:trPr>
        <w:tc>
          <w:tcPr>
            <w:tcW w:w="9054" w:type="dxa"/>
            <w:gridSpan w:val="2"/>
          </w:tcPr>
          <w:p w14:paraId="7F9BFA4D" w14:textId="77777777" w:rsidR="00311BFF" w:rsidRPr="00311BFF" w:rsidRDefault="00311BFF" w:rsidP="009C1DC3">
            <w:pPr>
              <w:jc w:val="both"/>
              <w:rPr>
                <w:rFonts w:ascii="Tahoma" w:hAnsi="Tahoma" w:cs="Tahoma"/>
                <w:b/>
                <w:bCs/>
                <w:sz w:val="22"/>
                <w:szCs w:val="22"/>
                <w:lang w:val="es-CO"/>
              </w:rPr>
            </w:pPr>
            <w:r w:rsidRPr="00311BFF">
              <w:rPr>
                <w:rFonts w:ascii="Tahoma" w:hAnsi="Tahoma" w:cs="Tahoma"/>
                <w:b/>
                <w:bCs/>
                <w:sz w:val="22"/>
                <w:szCs w:val="22"/>
              </w:rPr>
              <w:t xml:space="preserve">6.5 </w:t>
            </w:r>
            <w:r w:rsidRPr="00311BFF">
              <w:rPr>
                <w:rFonts w:ascii="Tahoma" w:hAnsi="Tahoma" w:cs="Tahoma"/>
                <w:b/>
                <w:bCs/>
                <w:sz w:val="22"/>
                <w:szCs w:val="22"/>
                <w:lang w:val="es-CO"/>
              </w:rPr>
              <w:t>COMPONENTE INICIATIVAS ADICIONALES</w:t>
            </w:r>
          </w:p>
          <w:p w14:paraId="305E0E74" w14:textId="77777777" w:rsidR="00177FB5" w:rsidRDefault="00177FB5" w:rsidP="00B848C8">
            <w:pPr>
              <w:ind w:left="708"/>
              <w:jc w:val="both"/>
              <w:rPr>
                <w:rFonts w:ascii="Tahoma" w:hAnsi="Tahoma" w:cs="Tahoma"/>
                <w:b/>
                <w:bCs/>
                <w:sz w:val="22"/>
                <w:szCs w:val="22"/>
              </w:rPr>
            </w:pPr>
          </w:p>
          <w:p w14:paraId="235D3BBA" w14:textId="4CEE4B4B" w:rsidR="00311BFF" w:rsidRPr="0018757A" w:rsidRDefault="006C7883" w:rsidP="00311BFF">
            <w:pPr>
              <w:jc w:val="both"/>
              <w:rPr>
                <w:rFonts w:ascii="Tahoma" w:hAnsi="Tahoma" w:cs="Tahoma"/>
                <w:b/>
                <w:bCs/>
                <w:sz w:val="22"/>
                <w:szCs w:val="22"/>
                <w:lang w:val="es-CO"/>
              </w:rPr>
            </w:pPr>
            <w:r>
              <w:rPr>
                <w:rFonts w:ascii="Tahoma" w:hAnsi="Tahoma" w:cs="Tahoma"/>
                <w:b/>
                <w:bCs/>
                <w:sz w:val="22"/>
                <w:szCs w:val="22"/>
                <w:lang w:val="es-CO"/>
              </w:rPr>
              <w:t>POLITÍCAS PARA LA GESTIÓN Í</w:t>
            </w:r>
            <w:r w:rsidR="00311BFF" w:rsidRPr="00FE54F3">
              <w:rPr>
                <w:rFonts w:ascii="Tahoma" w:hAnsi="Tahoma" w:cs="Tahoma"/>
                <w:b/>
                <w:bCs/>
                <w:sz w:val="22"/>
                <w:szCs w:val="22"/>
                <w:lang w:val="es-CO"/>
              </w:rPr>
              <w:t>NTEGRA</w:t>
            </w:r>
            <w:r w:rsidR="00311BFF">
              <w:rPr>
                <w:rFonts w:ascii="Tahoma" w:hAnsi="Tahoma" w:cs="Tahoma"/>
                <w:b/>
                <w:bCs/>
                <w:sz w:val="22"/>
                <w:szCs w:val="22"/>
                <w:lang w:val="es-CO"/>
              </w:rPr>
              <w:t xml:space="preserve">:  </w:t>
            </w:r>
            <w:r w:rsidR="00311BFF" w:rsidRPr="008A4692">
              <w:rPr>
                <w:rFonts w:ascii="Tahoma" w:hAnsi="Tahoma" w:cs="Tahoma"/>
                <w:bCs/>
                <w:sz w:val="22"/>
                <w:szCs w:val="22"/>
                <w:lang w:val="es-CO"/>
              </w:rPr>
              <w:t xml:space="preserve"> </w:t>
            </w:r>
            <w:r w:rsidR="008A4692" w:rsidRPr="008A4692">
              <w:rPr>
                <w:rFonts w:ascii="Tahoma" w:hAnsi="Tahoma" w:cs="Tahoma"/>
                <w:bCs/>
                <w:sz w:val="22"/>
                <w:szCs w:val="22"/>
                <w:lang w:val="es-CO"/>
              </w:rPr>
              <w:t xml:space="preserve">la acción propuesta para éste componente es “mantener el link al SECOP donde se muestran todas las contrataciones de la </w:t>
            </w:r>
            <w:r w:rsidR="008A4692">
              <w:rPr>
                <w:rFonts w:ascii="Tahoma" w:hAnsi="Tahoma" w:cs="Tahoma"/>
                <w:bCs/>
                <w:sz w:val="22"/>
                <w:szCs w:val="22"/>
                <w:lang w:val="es-CO"/>
              </w:rPr>
              <w:t>A</w:t>
            </w:r>
            <w:r w:rsidR="008A4692" w:rsidRPr="008A4692">
              <w:rPr>
                <w:rFonts w:ascii="Tahoma" w:hAnsi="Tahoma" w:cs="Tahoma"/>
                <w:bCs/>
                <w:sz w:val="22"/>
                <w:szCs w:val="22"/>
                <w:lang w:val="es-CO"/>
              </w:rPr>
              <w:t xml:space="preserve">dministración </w:t>
            </w:r>
            <w:r w:rsidR="008A4692">
              <w:rPr>
                <w:rFonts w:ascii="Tahoma" w:hAnsi="Tahoma" w:cs="Tahoma"/>
                <w:bCs/>
                <w:sz w:val="22"/>
                <w:szCs w:val="22"/>
                <w:lang w:val="es-CO"/>
              </w:rPr>
              <w:t>C</w:t>
            </w:r>
            <w:r w:rsidR="008A4692" w:rsidRPr="008A4692">
              <w:rPr>
                <w:rFonts w:ascii="Tahoma" w:hAnsi="Tahoma" w:cs="Tahoma"/>
                <w:bCs/>
                <w:sz w:val="22"/>
                <w:szCs w:val="22"/>
                <w:lang w:val="es-CO"/>
              </w:rPr>
              <w:t>entral Municipal”, a</w:t>
            </w:r>
            <w:r w:rsidR="00311BFF" w:rsidRPr="008A4692">
              <w:rPr>
                <w:rFonts w:ascii="Tahoma" w:hAnsi="Tahoma" w:cs="Tahoma"/>
                <w:bCs/>
                <w:sz w:val="22"/>
                <w:szCs w:val="22"/>
                <w:lang w:val="es-CO"/>
              </w:rPr>
              <w:t xml:space="preserve"> </w:t>
            </w:r>
            <w:r w:rsidR="00311BFF">
              <w:rPr>
                <w:rFonts w:ascii="Tahoma" w:hAnsi="Tahoma" w:cs="Tahoma"/>
                <w:bCs/>
                <w:sz w:val="22"/>
                <w:szCs w:val="22"/>
                <w:lang w:val="es-CO"/>
              </w:rPr>
              <w:t>la fecha del presente segu</w:t>
            </w:r>
            <w:r w:rsidR="008A4692">
              <w:rPr>
                <w:rFonts w:ascii="Tahoma" w:hAnsi="Tahoma" w:cs="Tahoma"/>
                <w:bCs/>
                <w:sz w:val="22"/>
                <w:szCs w:val="22"/>
                <w:lang w:val="es-CO"/>
              </w:rPr>
              <w:t>imiento, se encuentran cumplida</w:t>
            </w:r>
            <w:r w:rsidR="00311BFF">
              <w:rPr>
                <w:rFonts w:ascii="Tahoma" w:hAnsi="Tahoma" w:cs="Tahoma"/>
                <w:bCs/>
                <w:sz w:val="22"/>
                <w:szCs w:val="22"/>
                <w:lang w:val="es-CO"/>
              </w:rPr>
              <w:t xml:space="preserve"> </w:t>
            </w:r>
            <w:r w:rsidR="008A4692">
              <w:rPr>
                <w:rFonts w:ascii="Tahoma" w:hAnsi="Tahoma" w:cs="Tahoma"/>
                <w:bCs/>
                <w:sz w:val="22"/>
                <w:szCs w:val="22"/>
                <w:lang w:val="es-CO"/>
              </w:rPr>
              <w:t xml:space="preserve"> por lo tanto su valoración es </w:t>
            </w:r>
            <w:r w:rsidR="00311BFF">
              <w:rPr>
                <w:rFonts w:ascii="Tahoma" w:hAnsi="Tahoma" w:cs="Tahoma"/>
                <w:bCs/>
                <w:sz w:val="22"/>
                <w:szCs w:val="22"/>
                <w:lang w:val="es-CO"/>
              </w:rPr>
              <w:t xml:space="preserve">del </w:t>
            </w:r>
            <w:r w:rsidR="008A4692">
              <w:rPr>
                <w:rFonts w:ascii="Tahoma" w:hAnsi="Tahoma" w:cs="Tahoma"/>
                <w:b/>
                <w:bCs/>
                <w:sz w:val="22"/>
                <w:szCs w:val="22"/>
                <w:lang w:val="es-CO"/>
              </w:rPr>
              <w:t>100%.</w:t>
            </w:r>
          </w:p>
          <w:p w14:paraId="2134606C" w14:textId="77777777" w:rsidR="00311BFF" w:rsidRPr="0018757A" w:rsidRDefault="00311BFF" w:rsidP="00311BFF">
            <w:pPr>
              <w:jc w:val="both"/>
              <w:rPr>
                <w:rFonts w:ascii="Tahoma" w:hAnsi="Tahoma" w:cs="Tahoma"/>
                <w:b/>
                <w:bCs/>
                <w:sz w:val="22"/>
                <w:szCs w:val="22"/>
                <w:lang w:val="es-CO"/>
              </w:rPr>
            </w:pPr>
            <w:r w:rsidRPr="00FE54F3">
              <w:rPr>
                <w:rFonts w:ascii="Tahoma" w:hAnsi="Tahoma" w:cs="Tahoma"/>
                <w:b/>
                <w:bCs/>
                <w:sz w:val="22"/>
                <w:szCs w:val="22"/>
                <w:lang w:val="es-CO"/>
              </w:rPr>
              <w:lastRenderedPageBreak/>
              <w:t>RESPONSABILIDAD SOCIAL</w:t>
            </w:r>
            <w:r w:rsidRPr="0060165C">
              <w:rPr>
                <w:rFonts w:ascii="Tahoma" w:hAnsi="Tahoma" w:cs="Tahoma"/>
                <w:bCs/>
                <w:sz w:val="22"/>
                <w:szCs w:val="22"/>
                <w:lang w:val="es-CO"/>
              </w:rPr>
              <w:t>: A la fecha del presente seguimiento, se constata la publicación de los Planes de Acción por Secretaría</w:t>
            </w:r>
            <w:r>
              <w:rPr>
                <w:rFonts w:ascii="Tahoma" w:hAnsi="Tahoma" w:cs="Tahoma"/>
                <w:bCs/>
                <w:sz w:val="22"/>
                <w:szCs w:val="22"/>
                <w:lang w:val="es-CO"/>
              </w:rPr>
              <w:t xml:space="preserve"> y del Plan de Desarrollo 2012-2015, toda vez que el Plan de Desarrollo de Manizales 2016-2019, se encuentra en proceso de aprobación por parte del Concejo de Manizales</w:t>
            </w:r>
            <w:r w:rsidRPr="0060165C">
              <w:rPr>
                <w:rFonts w:ascii="Tahoma" w:hAnsi="Tahoma" w:cs="Tahoma"/>
                <w:bCs/>
                <w:sz w:val="22"/>
                <w:szCs w:val="22"/>
                <w:lang w:val="es-CO"/>
              </w:rPr>
              <w:t xml:space="preserve">, faltando por publicar el Presupuesto General Asignado 2016 de la Alcaldía, por lo tanto la valoración del subcomponente es del </w:t>
            </w:r>
            <w:r w:rsidRPr="0018757A">
              <w:rPr>
                <w:rFonts w:ascii="Tahoma" w:hAnsi="Tahoma" w:cs="Tahoma"/>
                <w:b/>
                <w:bCs/>
                <w:sz w:val="22"/>
                <w:szCs w:val="22"/>
                <w:lang w:val="es-CO"/>
              </w:rPr>
              <w:t>50%.</w:t>
            </w:r>
          </w:p>
          <w:p w14:paraId="7163E147" w14:textId="77777777" w:rsidR="00311BFF" w:rsidRPr="0060165C" w:rsidRDefault="00311BFF" w:rsidP="00311BFF">
            <w:pPr>
              <w:jc w:val="both"/>
              <w:rPr>
                <w:rFonts w:ascii="Tahoma" w:hAnsi="Tahoma" w:cs="Tahoma"/>
                <w:bCs/>
                <w:sz w:val="22"/>
                <w:szCs w:val="22"/>
                <w:lang w:val="es-CO"/>
              </w:rPr>
            </w:pPr>
          </w:p>
          <w:p w14:paraId="1FC65D07" w14:textId="77777777" w:rsidR="00311BFF" w:rsidRDefault="00311BFF" w:rsidP="00311BFF">
            <w:pPr>
              <w:jc w:val="both"/>
              <w:rPr>
                <w:rFonts w:ascii="Tahoma" w:hAnsi="Tahoma" w:cs="Tahoma"/>
                <w:b/>
                <w:bCs/>
                <w:sz w:val="22"/>
                <w:szCs w:val="22"/>
                <w:lang w:val="es-CO"/>
              </w:rPr>
            </w:pPr>
            <w:r w:rsidRPr="00FE54F3">
              <w:rPr>
                <w:rFonts w:ascii="Tahoma" w:hAnsi="Tahoma" w:cs="Tahoma"/>
                <w:b/>
                <w:bCs/>
                <w:sz w:val="22"/>
                <w:szCs w:val="22"/>
                <w:lang w:val="es-CO"/>
              </w:rPr>
              <w:t>FRENTE A LOS GRUPOS DE INTERES</w:t>
            </w:r>
            <w:r>
              <w:rPr>
                <w:rFonts w:ascii="Tahoma" w:hAnsi="Tahoma" w:cs="Tahoma"/>
                <w:b/>
                <w:bCs/>
                <w:sz w:val="22"/>
                <w:szCs w:val="22"/>
                <w:lang w:val="es-CO"/>
              </w:rPr>
              <w:t xml:space="preserve">: </w:t>
            </w:r>
            <w:r>
              <w:rPr>
                <w:rFonts w:ascii="Tahoma" w:hAnsi="Tahoma" w:cs="Tahoma"/>
                <w:bCs/>
                <w:sz w:val="22"/>
                <w:szCs w:val="22"/>
                <w:lang w:val="es-CO"/>
              </w:rPr>
              <w:t xml:space="preserve">A la fecha del presente seguimiento, se encuentran cumplidas todas las acciones programadas en el cronograma, por lo tanto la valoración es del </w:t>
            </w:r>
            <w:r w:rsidRPr="00D2602B">
              <w:rPr>
                <w:rFonts w:ascii="Tahoma" w:hAnsi="Tahoma" w:cs="Tahoma"/>
                <w:b/>
                <w:bCs/>
                <w:sz w:val="22"/>
                <w:szCs w:val="22"/>
                <w:lang w:val="es-CO"/>
              </w:rPr>
              <w:t>100%.</w:t>
            </w:r>
          </w:p>
          <w:p w14:paraId="17EB8F51" w14:textId="77777777" w:rsidR="00311BFF" w:rsidRDefault="00311BFF" w:rsidP="00311BFF">
            <w:pPr>
              <w:jc w:val="both"/>
              <w:rPr>
                <w:rFonts w:ascii="Tahoma" w:hAnsi="Tahoma" w:cs="Tahoma"/>
                <w:b/>
                <w:bCs/>
                <w:sz w:val="22"/>
                <w:szCs w:val="22"/>
                <w:lang w:val="es-CO"/>
              </w:rPr>
            </w:pPr>
          </w:p>
          <w:p w14:paraId="4AD651C5" w14:textId="394A7B20" w:rsidR="00311BFF" w:rsidRPr="00311BFF" w:rsidRDefault="00311BFF" w:rsidP="00311BFF">
            <w:pPr>
              <w:jc w:val="both"/>
              <w:rPr>
                <w:rFonts w:ascii="Tahoma" w:hAnsi="Tahoma" w:cs="Tahoma"/>
                <w:b/>
                <w:bCs/>
                <w:sz w:val="22"/>
                <w:szCs w:val="22"/>
                <w:lang w:val="es-CO"/>
              </w:rPr>
            </w:pPr>
            <w:r w:rsidRPr="00FE54F3">
              <w:rPr>
                <w:rFonts w:ascii="Tahoma" w:hAnsi="Tahoma" w:cs="Tahoma"/>
                <w:b/>
                <w:bCs/>
                <w:sz w:val="22"/>
                <w:szCs w:val="22"/>
                <w:lang w:val="es-CO"/>
              </w:rPr>
              <w:t xml:space="preserve">POLITICA DE CONTRATACIÓN PÚBLICA </w:t>
            </w:r>
            <w:r>
              <w:rPr>
                <w:rFonts w:ascii="Tahoma" w:hAnsi="Tahoma" w:cs="Tahoma"/>
                <w:b/>
                <w:bCs/>
                <w:sz w:val="22"/>
                <w:szCs w:val="22"/>
                <w:lang w:val="es-CO"/>
              </w:rPr>
              <w:t>–</w:t>
            </w:r>
            <w:r w:rsidRPr="00FE54F3">
              <w:rPr>
                <w:rFonts w:ascii="Tahoma" w:hAnsi="Tahoma" w:cs="Tahoma"/>
                <w:b/>
                <w:bCs/>
                <w:sz w:val="22"/>
                <w:szCs w:val="22"/>
                <w:lang w:val="es-CO"/>
              </w:rPr>
              <w:t xml:space="preserve"> URNA DE CRISTAL</w:t>
            </w:r>
            <w:r>
              <w:rPr>
                <w:rFonts w:ascii="Tahoma" w:hAnsi="Tahoma" w:cs="Tahoma"/>
                <w:b/>
                <w:bCs/>
                <w:sz w:val="22"/>
                <w:szCs w:val="22"/>
                <w:lang w:val="es-CO"/>
              </w:rPr>
              <w:t xml:space="preserve">: </w:t>
            </w:r>
            <w:r>
              <w:rPr>
                <w:rFonts w:ascii="Tahoma" w:hAnsi="Tahoma" w:cs="Tahoma"/>
                <w:bCs/>
                <w:sz w:val="22"/>
                <w:szCs w:val="22"/>
                <w:lang w:val="es-CO"/>
              </w:rPr>
              <w:t xml:space="preserve">No se observa cumplimiento de este Subcomponente, en lo relacionado con la actualización del Manual de Supervisión con la normatividad vigente, por tal motivo su valoración es del </w:t>
            </w:r>
            <w:r w:rsidRPr="006456B3">
              <w:rPr>
                <w:rFonts w:ascii="Tahoma" w:hAnsi="Tahoma" w:cs="Tahoma"/>
                <w:b/>
                <w:bCs/>
                <w:sz w:val="22"/>
                <w:szCs w:val="22"/>
                <w:lang w:val="es-CO"/>
              </w:rPr>
              <w:t>0%.</w:t>
            </w:r>
          </w:p>
        </w:tc>
      </w:tr>
    </w:tbl>
    <w:p w14:paraId="57A52967" w14:textId="17B9A7A6" w:rsidR="00D56B12" w:rsidRPr="004B76E3" w:rsidRDefault="00D56B12" w:rsidP="00942170">
      <w:pPr>
        <w:rPr>
          <w:rFonts w:ascii="Tahoma" w:hAnsi="Tahoma" w:cs="Tahoma"/>
          <w:b/>
          <w:bCs/>
          <w:sz w:val="22"/>
          <w:szCs w:val="22"/>
        </w:rPr>
      </w:pPr>
    </w:p>
    <w:p w14:paraId="00C9D724" w14:textId="7952F5D7" w:rsidR="00FF100B" w:rsidRPr="004937EE" w:rsidRDefault="00FF100B" w:rsidP="00FF100B">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t xml:space="preserve">CUADRO RESUMEN </w:t>
      </w:r>
      <w:r w:rsidR="00E90412">
        <w:rPr>
          <w:rFonts w:ascii="Tahoma" w:eastAsia="Times New Roman" w:hAnsi="Tahoma" w:cs="Tahoma"/>
          <w:b/>
          <w:u w:val="single"/>
          <w:lang w:eastAsia="es-CO"/>
        </w:rPr>
        <w:t xml:space="preserve">SOBRE EL PORCENTAJE DE </w:t>
      </w:r>
      <w:r w:rsidRPr="004937EE">
        <w:rPr>
          <w:rFonts w:ascii="Tahoma" w:eastAsia="Times New Roman" w:hAnsi="Tahoma" w:cs="Tahoma"/>
          <w:b/>
          <w:u w:val="single"/>
          <w:lang w:eastAsia="es-CO"/>
        </w:rPr>
        <w:t>CUMPLIMIENTO DE LAS ACTIVIDADES POR COMPONENTE</w:t>
      </w:r>
    </w:p>
    <w:p w14:paraId="5A4F39C6" w14:textId="77777777" w:rsidR="00FF100B" w:rsidRDefault="00FF100B" w:rsidP="00FF100B">
      <w:pPr>
        <w:pStyle w:val="Sinespaciado"/>
        <w:jc w:val="both"/>
        <w:rPr>
          <w:rFonts w:ascii="Tahoma" w:hAnsi="Tahoma" w:cs="Tahoma"/>
          <w:color w:val="FF0000"/>
        </w:rPr>
      </w:pPr>
    </w:p>
    <w:p w14:paraId="2C683587" w14:textId="689ACD3B" w:rsidR="00FF100B" w:rsidRDefault="002B6AFD" w:rsidP="00FF100B">
      <w:pPr>
        <w:pStyle w:val="Sinespaciado"/>
        <w:jc w:val="both"/>
        <w:rPr>
          <w:rFonts w:ascii="Tahoma" w:hAnsi="Tahoma" w:cs="Tahoma"/>
        </w:rPr>
      </w:pPr>
      <w:r>
        <w:rPr>
          <w:rFonts w:ascii="Tahoma" w:hAnsi="Tahoma" w:cs="Tahoma"/>
        </w:rPr>
        <w:t>S</w:t>
      </w:r>
      <w:r w:rsidR="00FF100B" w:rsidRPr="004937EE">
        <w:rPr>
          <w:rFonts w:ascii="Tahoma" w:hAnsi="Tahoma" w:cs="Tahoma"/>
        </w:rPr>
        <w:t>e realizó evaluación cuantitativa con corte a</w:t>
      </w:r>
      <w:r w:rsidR="00FF100B">
        <w:rPr>
          <w:rFonts w:ascii="Tahoma" w:hAnsi="Tahoma" w:cs="Tahoma"/>
        </w:rPr>
        <w:t>l 30 de abril de 2016,</w:t>
      </w:r>
      <w:r w:rsidR="007D4524">
        <w:rPr>
          <w:rFonts w:ascii="Tahoma" w:hAnsi="Tahoma" w:cs="Tahoma"/>
        </w:rPr>
        <w:t xml:space="preserve"> de las actividades establecidas en cada uno de los componentes que hacen parte del “Plan Anticorrupción y de Atención al Ciudadano y el Código del Buen Gobierno para </w:t>
      </w:r>
      <w:r w:rsidR="00CD2A04">
        <w:rPr>
          <w:rFonts w:ascii="Tahoma" w:hAnsi="Tahoma" w:cs="Tahoma"/>
        </w:rPr>
        <w:t xml:space="preserve">ejecutar en </w:t>
      </w:r>
      <w:r w:rsidR="007D4524">
        <w:rPr>
          <w:rFonts w:ascii="Tahoma" w:hAnsi="Tahoma" w:cs="Tahoma"/>
        </w:rPr>
        <w:t xml:space="preserve">el año 2016, con el objetivo de impulsar las buenas prácticas de la gestión pública en el municipio de Manizales”, </w:t>
      </w:r>
      <w:r w:rsidR="00FF100B">
        <w:rPr>
          <w:rFonts w:ascii="Tahoma" w:hAnsi="Tahoma" w:cs="Tahoma"/>
        </w:rPr>
        <w:t xml:space="preserve"> </w:t>
      </w:r>
      <w:r w:rsidR="00FF100B" w:rsidRPr="004937EE">
        <w:rPr>
          <w:rFonts w:ascii="Tahoma" w:hAnsi="Tahoma" w:cs="Tahoma"/>
        </w:rPr>
        <w:t xml:space="preserve"> </w:t>
      </w:r>
      <w:r w:rsidR="00717B9F">
        <w:rPr>
          <w:rFonts w:ascii="Tahoma" w:hAnsi="Tahoma" w:cs="Tahoma"/>
        </w:rPr>
        <w:t xml:space="preserve">presentando los </w:t>
      </w:r>
      <w:r w:rsidR="00FF100B">
        <w:rPr>
          <w:rFonts w:ascii="Tahoma" w:hAnsi="Tahoma" w:cs="Tahoma"/>
        </w:rPr>
        <w:t>siguientes resultados:</w:t>
      </w:r>
    </w:p>
    <w:p w14:paraId="34DA3DC2" w14:textId="77777777" w:rsidR="00FF100B" w:rsidRPr="00085C25" w:rsidRDefault="00FF100B" w:rsidP="00FF100B">
      <w:pPr>
        <w:pStyle w:val="Sinespaciado"/>
        <w:jc w:val="both"/>
        <w:rPr>
          <w:rFonts w:ascii="Tahoma" w:hAnsi="Tahoma" w:cs="Tahoma"/>
        </w:rPr>
      </w:pPr>
    </w:p>
    <w:tbl>
      <w:tblPr>
        <w:tblW w:w="5764" w:type="dxa"/>
        <w:jc w:val="center"/>
        <w:tblInd w:w="55" w:type="dxa"/>
        <w:tblCellMar>
          <w:left w:w="70" w:type="dxa"/>
          <w:right w:w="70" w:type="dxa"/>
        </w:tblCellMar>
        <w:tblLook w:val="04A0" w:firstRow="1" w:lastRow="0" w:firstColumn="1" w:lastColumn="0" w:noHBand="0" w:noVBand="1"/>
      </w:tblPr>
      <w:tblGrid>
        <w:gridCol w:w="3919"/>
        <w:gridCol w:w="1845"/>
      </w:tblGrid>
      <w:tr w:rsidR="00FF100B" w:rsidRPr="00B72AEA" w14:paraId="4FB6A486" w14:textId="77777777" w:rsidTr="0014394D">
        <w:trPr>
          <w:trHeight w:val="313"/>
          <w:jc w:val="center"/>
        </w:trPr>
        <w:tc>
          <w:tcPr>
            <w:tcW w:w="5764"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EB00C47" w:rsidR="00FF100B" w:rsidRPr="00B526B1" w:rsidRDefault="00FF100B" w:rsidP="00CE7451">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PLAN ANTICORRUPCIÓN DE ATENCION AL CIUDADANO</w:t>
            </w:r>
            <w:r w:rsidR="003B7E88" w:rsidRPr="00B526B1">
              <w:rPr>
                <w:rFonts w:ascii="Tahoma" w:eastAsia="Times New Roman" w:hAnsi="Tahoma" w:cs="Tahoma"/>
                <w:b/>
                <w:bCs/>
                <w:color w:val="000000"/>
                <w:sz w:val="20"/>
                <w:szCs w:val="20"/>
                <w:lang w:eastAsia="es-CO"/>
              </w:rPr>
              <w:t xml:space="preserve"> Y EL CÓDIGO DEL BUEN GOBIERNO 2016</w:t>
            </w:r>
          </w:p>
        </w:tc>
      </w:tr>
      <w:tr w:rsidR="00FF100B" w:rsidRPr="00B72AEA" w14:paraId="26137564" w14:textId="77777777" w:rsidTr="0014394D">
        <w:trPr>
          <w:trHeight w:val="118"/>
          <w:jc w:val="center"/>
        </w:trPr>
        <w:tc>
          <w:tcPr>
            <w:tcW w:w="576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41960CA8" w:rsidR="00FF100B" w:rsidRPr="00B526B1" w:rsidRDefault="003B7E88" w:rsidP="00CE7451">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CORTE AL 30 DE ABRIL DE 2016</w:t>
            </w:r>
          </w:p>
        </w:tc>
      </w:tr>
      <w:tr w:rsidR="00FF100B" w:rsidRPr="00B72AEA" w14:paraId="49A275B5" w14:textId="77777777" w:rsidTr="00C35E53">
        <w:trPr>
          <w:trHeight w:val="300"/>
          <w:jc w:val="center"/>
        </w:trPr>
        <w:tc>
          <w:tcPr>
            <w:tcW w:w="3919"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COMPONENTE</w:t>
            </w:r>
          </w:p>
        </w:tc>
        <w:tc>
          <w:tcPr>
            <w:tcW w:w="1845"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0750168F" w14:textId="77777777" w:rsidTr="00DF24FB">
        <w:trPr>
          <w:trHeight w:val="748"/>
          <w:jc w:val="center"/>
        </w:trPr>
        <w:tc>
          <w:tcPr>
            <w:tcW w:w="3919" w:type="dxa"/>
            <w:tcBorders>
              <w:top w:val="nil"/>
              <w:left w:val="single" w:sz="8" w:space="0" w:color="auto"/>
              <w:bottom w:val="single" w:sz="8" w:space="0" w:color="auto"/>
              <w:right w:val="single" w:sz="8" w:space="0" w:color="auto"/>
            </w:tcBorders>
            <w:shd w:val="clear" w:color="auto" w:fill="auto"/>
            <w:vAlign w:val="center"/>
            <w:hideMark/>
          </w:tcPr>
          <w:p w14:paraId="788A6CA7" w14:textId="6F31EE47"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Gestión de Riesgos de Corrupción – Mapa de Riesgos de Corrupción</w:t>
            </w:r>
          </w:p>
        </w:tc>
        <w:tc>
          <w:tcPr>
            <w:tcW w:w="1845" w:type="dxa"/>
            <w:tcBorders>
              <w:top w:val="nil"/>
              <w:left w:val="nil"/>
              <w:bottom w:val="single" w:sz="8" w:space="0" w:color="auto"/>
              <w:right w:val="single" w:sz="8" w:space="0" w:color="auto"/>
            </w:tcBorders>
            <w:shd w:val="clear" w:color="auto" w:fill="FF0000"/>
            <w:noWrap/>
            <w:vAlign w:val="center"/>
          </w:tcPr>
          <w:p w14:paraId="717742F1" w14:textId="05E04E40" w:rsidR="00FF100B" w:rsidRPr="00B72AEA" w:rsidRDefault="00CD2A04"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w:t>
            </w:r>
            <w:r w:rsidR="00582017">
              <w:rPr>
                <w:rFonts w:ascii="Tahoma" w:eastAsia="Times New Roman" w:hAnsi="Tahoma" w:cs="Tahoma"/>
                <w:b/>
                <w:bCs/>
                <w:color w:val="000000"/>
                <w:sz w:val="18"/>
                <w:szCs w:val="18"/>
                <w:lang w:eastAsia="es-CO"/>
              </w:rPr>
              <w:t>8,9</w:t>
            </w:r>
            <w:r>
              <w:rPr>
                <w:rFonts w:ascii="Tahoma" w:eastAsia="Times New Roman" w:hAnsi="Tahoma" w:cs="Tahoma"/>
                <w:b/>
                <w:bCs/>
                <w:color w:val="000000"/>
                <w:sz w:val="18"/>
                <w:szCs w:val="18"/>
                <w:lang w:eastAsia="es-CO"/>
              </w:rPr>
              <w:t>4</w:t>
            </w:r>
          </w:p>
        </w:tc>
      </w:tr>
      <w:tr w:rsidR="00FF100B" w:rsidRPr="00B72AEA" w14:paraId="66E0E104" w14:textId="77777777" w:rsidTr="000B2B67">
        <w:trPr>
          <w:trHeight w:val="315"/>
          <w:jc w:val="center"/>
        </w:trPr>
        <w:tc>
          <w:tcPr>
            <w:tcW w:w="3919" w:type="dxa"/>
            <w:tcBorders>
              <w:top w:val="nil"/>
              <w:left w:val="single" w:sz="8" w:space="0" w:color="auto"/>
              <w:bottom w:val="single" w:sz="8" w:space="0" w:color="auto"/>
              <w:right w:val="single" w:sz="8" w:space="0" w:color="auto"/>
            </w:tcBorders>
            <w:shd w:val="clear" w:color="auto" w:fill="auto"/>
            <w:noWrap/>
            <w:vAlign w:val="center"/>
            <w:hideMark/>
          </w:tcPr>
          <w:p w14:paraId="267E1AEE" w14:textId="6F5D26BB"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Estrategia de Racionalización de Trámites</w:t>
            </w:r>
          </w:p>
        </w:tc>
        <w:tc>
          <w:tcPr>
            <w:tcW w:w="1845" w:type="dxa"/>
            <w:tcBorders>
              <w:top w:val="nil"/>
              <w:left w:val="nil"/>
              <w:bottom w:val="single" w:sz="8" w:space="0" w:color="auto"/>
              <w:right w:val="single" w:sz="8" w:space="0" w:color="auto"/>
            </w:tcBorders>
            <w:shd w:val="clear" w:color="auto" w:fill="FFFF00"/>
            <w:noWrap/>
            <w:vAlign w:val="center"/>
          </w:tcPr>
          <w:p w14:paraId="4EDBF207" w14:textId="3A7F9B16" w:rsidR="00FF100B" w:rsidRPr="00B72AEA" w:rsidRDefault="000B2B67"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89</w:t>
            </w:r>
          </w:p>
        </w:tc>
      </w:tr>
      <w:tr w:rsidR="00FF100B" w:rsidRPr="00B72AEA" w14:paraId="30516A88" w14:textId="77777777" w:rsidTr="002B15B4">
        <w:trPr>
          <w:trHeight w:val="315"/>
          <w:jc w:val="center"/>
        </w:trPr>
        <w:tc>
          <w:tcPr>
            <w:tcW w:w="3919" w:type="dxa"/>
            <w:tcBorders>
              <w:top w:val="nil"/>
              <w:left w:val="single" w:sz="8" w:space="0" w:color="auto"/>
              <w:bottom w:val="single" w:sz="4" w:space="0" w:color="auto"/>
              <w:right w:val="single" w:sz="8" w:space="0" w:color="auto"/>
            </w:tcBorders>
            <w:shd w:val="clear" w:color="auto" w:fill="auto"/>
            <w:noWrap/>
            <w:vAlign w:val="center"/>
            <w:hideMark/>
          </w:tcPr>
          <w:p w14:paraId="5C253490" w14:textId="37CF57DC"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Rendición de Cuentas</w:t>
            </w:r>
          </w:p>
        </w:tc>
        <w:tc>
          <w:tcPr>
            <w:tcW w:w="1845" w:type="dxa"/>
            <w:tcBorders>
              <w:top w:val="nil"/>
              <w:left w:val="nil"/>
              <w:bottom w:val="single" w:sz="4" w:space="0" w:color="auto"/>
              <w:right w:val="single" w:sz="8" w:space="0" w:color="auto"/>
            </w:tcBorders>
            <w:shd w:val="clear" w:color="auto" w:fill="FFFF00"/>
            <w:vAlign w:val="center"/>
          </w:tcPr>
          <w:p w14:paraId="1A5E578D" w14:textId="04A04098" w:rsidR="00FF100B" w:rsidRPr="00B72AEA" w:rsidRDefault="00CD2A04"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70</w:t>
            </w:r>
          </w:p>
        </w:tc>
      </w:tr>
      <w:tr w:rsidR="00FF100B" w:rsidRPr="00B72AEA" w14:paraId="77FFA41A" w14:textId="77777777" w:rsidTr="002B15B4">
        <w:trPr>
          <w:trHeight w:val="505"/>
          <w:jc w:val="center"/>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A0A0" w14:textId="0161AA82"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lastRenderedPageBreak/>
              <w:t>Mecanismos para mejorar la Atención al Ciudadano</w:t>
            </w:r>
          </w:p>
        </w:tc>
        <w:tc>
          <w:tcPr>
            <w:tcW w:w="1845" w:type="dxa"/>
            <w:tcBorders>
              <w:top w:val="single" w:sz="4" w:space="0" w:color="auto"/>
              <w:left w:val="single" w:sz="4" w:space="0" w:color="auto"/>
              <w:bottom w:val="single" w:sz="4" w:space="0" w:color="auto"/>
              <w:right w:val="single" w:sz="4" w:space="0" w:color="auto"/>
            </w:tcBorders>
            <w:shd w:val="clear" w:color="auto" w:fill="FF0000"/>
            <w:vAlign w:val="center"/>
          </w:tcPr>
          <w:p w14:paraId="01CEDCF7" w14:textId="18683539" w:rsidR="00FF100B" w:rsidRPr="00B72AEA" w:rsidRDefault="00394E56"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17,3</w:t>
            </w:r>
          </w:p>
        </w:tc>
      </w:tr>
      <w:tr w:rsidR="00FF100B" w:rsidRPr="00B72AEA" w14:paraId="115F2E7F" w14:textId="77777777" w:rsidTr="002B15B4">
        <w:trPr>
          <w:trHeight w:val="624"/>
          <w:jc w:val="center"/>
        </w:trPr>
        <w:tc>
          <w:tcPr>
            <w:tcW w:w="39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477861" w14:textId="6EC88B54" w:rsidR="00FF100B" w:rsidRPr="00123D90" w:rsidRDefault="003B7E88" w:rsidP="0035014D">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 xml:space="preserve">Mecanismos para </w:t>
            </w:r>
            <w:r w:rsidR="0035014D" w:rsidRPr="00123D90">
              <w:rPr>
                <w:rFonts w:ascii="Tahoma" w:hAnsi="Tahoma" w:cs="Tahoma"/>
                <w:b/>
                <w:bCs/>
                <w:sz w:val="20"/>
                <w:szCs w:val="20"/>
                <w:lang w:val="es-CO"/>
              </w:rPr>
              <w:t>la Transparencia y Acceso a la Información</w:t>
            </w:r>
          </w:p>
        </w:tc>
        <w:tc>
          <w:tcPr>
            <w:tcW w:w="1845" w:type="dxa"/>
            <w:tcBorders>
              <w:top w:val="single" w:sz="4" w:space="0" w:color="auto"/>
              <w:left w:val="nil"/>
              <w:bottom w:val="single" w:sz="8" w:space="0" w:color="auto"/>
              <w:right w:val="single" w:sz="8" w:space="0" w:color="auto"/>
            </w:tcBorders>
            <w:shd w:val="clear" w:color="auto" w:fill="FF0000"/>
            <w:vAlign w:val="center"/>
          </w:tcPr>
          <w:p w14:paraId="41E1E01A" w14:textId="19A2D2DB" w:rsidR="00FF100B" w:rsidRPr="00B72AEA" w:rsidRDefault="00BA4945"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57,8</w:t>
            </w:r>
          </w:p>
        </w:tc>
      </w:tr>
      <w:tr w:rsidR="003B7E88" w:rsidRPr="00B72AEA" w14:paraId="05760C24" w14:textId="77777777" w:rsidTr="00D9279D">
        <w:trPr>
          <w:trHeight w:val="624"/>
          <w:jc w:val="center"/>
        </w:trPr>
        <w:tc>
          <w:tcPr>
            <w:tcW w:w="3919" w:type="dxa"/>
            <w:tcBorders>
              <w:top w:val="nil"/>
              <w:left w:val="single" w:sz="8" w:space="0" w:color="auto"/>
              <w:bottom w:val="single" w:sz="8" w:space="0" w:color="auto"/>
              <w:right w:val="single" w:sz="8" w:space="0" w:color="auto"/>
            </w:tcBorders>
            <w:shd w:val="clear" w:color="auto" w:fill="auto"/>
            <w:vAlign w:val="center"/>
          </w:tcPr>
          <w:p w14:paraId="4FBB6832" w14:textId="364EAFAF" w:rsidR="003B7E88"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Iniciativas Adicionales</w:t>
            </w:r>
          </w:p>
        </w:tc>
        <w:tc>
          <w:tcPr>
            <w:tcW w:w="1845" w:type="dxa"/>
            <w:tcBorders>
              <w:top w:val="nil"/>
              <w:left w:val="nil"/>
              <w:bottom w:val="single" w:sz="8" w:space="0" w:color="auto"/>
              <w:right w:val="single" w:sz="8" w:space="0" w:color="auto"/>
            </w:tcBorders>
            <w:shd w:val="clear" w:color="auto" w:fill="FFFF00"/>
            <w:vAlign w:val="center"/>
          </w:tcPr>
          <w:p w14:paraId="639926E5" w14:textId="70A780FD" w:rsidR="003B7E88" w:rsidRPr="00B72AEA" w:rsidRDefault="00D9279D"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62,5</w:t>
            </w:r>
          </w:p>
        </w:tc>
      </w:tr>
      <w:tr w:rsidR="00FF100B" w:rsidRPr="00B72AEA" w14:paraId="50287930" w14:textId="77777777" w:rsidTr="00CA403B">
        <w:trPr>
          <w:trHeight w:val="315"/>
          <w:jc w:val="center"/>
        </w:trPr>
        <w:tc>
          <w:tcPr>
            <w:tcW w:w="3919" w:type="dxa"/>
            <w:tcBorders>
              <w:top w:val="nil"/>
              <w:left w:val="nil"/>
              <w:bottom w:val="nil"/>
              <w:right w:val="nil"/>
            </w:tcBorders>
            <w:shd w:val="clear" w:color="auto" w:fill="auto"/>
            <w:vAlign w:val="center"/>
            <w:hideMark/>
          </w:tcPr>
          <w:p w14:paraId="0B878AF1" w14:textId="18053476" w:rsidR="00FF100B" w:rsidRPr="00123D90" w:rsidRDefault="00AD4305" w:rsidP="00CE7451">
            <w:pPr>
              <w:rPr>
                <w:rFonts w:ascii="Tahoma" w:eastAsia="Times New Roman" w:hAnsi="Tahoma" w:cs="Tahoma"/>
                <w:b/>
                <w:color w:val="000000"/>
                <w:sz w:val="22"/>
                <w:szCs w:val="22"/>
                <w:lang w:eastAsia="es-CO"/>
              </w:rPr>
            </w:pPr>
            <w:r w:rsidRPr="00123D90">
              <w:rPr>
                <w:rFonts w:ascii="Tahoma" w:eastAsia="Times New Roman" w:hAnsi="Tahoma" w:cs="Tahoma"/>
                <w:b/>
                <w:color w:val="000000"/>
                <w:sz w:val="22"/>
                <w:szCs w:val="22"/>
                <w:lang w:eastAsia="es-CO"/>
              </w:rPr>
              <w:t>TOTAL CUMPLIMIENTO PLAN</w:t>
            </w:r>
            <w:r w:rsidR="00BB729E">
              <w:rPr>
                <w:rFonts w:ascii="Tahoma" w:eastAsia="Times New Roman" w:hAnsi="Tahoma" w:cs="Tahoma"/>
                <w:b/>
                <w:color w:val="000000"/>
                <w:sz w:val="22"/>
                <w:szCs w:val="22"/>
                <w:lang w:eastAsia="es-CO"/>
              </w:rPr>
              <w:t xml:space="preserve"> </w:t>
            </w:r>
            <w:r w:rsidR="00BB729E" w:rsidRPr="00B526B1">
              <w:rPr>
                <w:rFonts w:ascii="Tahoma" w:eastAsia="Times New Roman" w:hAnsi="Tahoma" w:cs="Tahoma"/>
                <w:b/>
                <w:bCs/>
                <w:color w:val="000000"/>
                <w:sz w:val="20"/>
                <w:szCs w:val="20"/>
                <w:lang w:eastAsia="es-CO"/>
              </w:rPr>
              <w:t>CORTE AL 30 DE ABRIL DE 2016</w:t>
            </w:r>
          </w:p>
        </w:tc>
        <w:tc>
          <w:tcPr>
            <w:tcW w:w="1845" w:type="dxa"/>
            <w:tcBorders>
              <w:top w:val="nil"/>
              <w:left w:val="single" w:sz="8" w:space="0" w:color="auto"/>
              <w:bottom w:val="single" w:sz="8" w:space="0" w:color="auto"/>
              <w:right w:val="single" w:sz="8" w:space="0" w:color="auto"/>
            </w:tcBorders>
            <w:shd w:val="clear" w:color="auto" w:fill="FFFF00"/>
            <w:vAlign w:val="center"/>
          </w:tcPr>
          <w:p w14:paraId="69E9F9FE" w14:textId="27702EB8" w:rsidR="00FF100B" w:rsidRPr="002F36AD" w:rsidRDefault="00CD2A04" w:rsidP="00CE7451">
            <w:pPr>
              <w:jc w:val="center"/>
              <w:rPr>
                <w:rFonts w:ascii="Tahoma" w:eastAsia="Times New Roman" w:hAnsi="Tahoma" w:cs="Tahoma"/>
                <w:b/>
                <w:bCs/>
                <w:color w:val="000000"/>
                <w:lang w:eastAsia="es-CO"/>
              </w:rPr>
            </w:pPr>
            <w:r>
              <w:rPr>
                <w:rFonts w:ascii="Tahoma" w:eastAsia="Times New Roman" w:hAnsi="Tahoma" w:cs="Tahoma"/>
                <w:b/>
                <w:bCs/>
                <w:color w:val="000000"/>
                <w:lang w:eastAsia="es-CO"/>
              </w:rPr>
              <w:t>55</w:t>
            </w:r>
            <w:r w:rsidR="00CA403B" w:rsidRPr="002F36AD">
              <w:rPr>
                <w:rFonts w:ascii="Tahoma" w:eastAsia="Times New Roman" w:hAnsi="Tahoma" w:cs="Tahoma"/>
                <w:b/>
                <w:bCs/>
                <w:color w:val="000000"/>
                <w:lang w:eastAsia="es-CO"/>
              </w:rPr>
              <w:t>,</w:t>
            </w:r>
            <w:r>
              <w:rPr>
                <w:rFonts w:ascii="Tahoma" w:eastAsia="Times New Roman" w:hAnsi="Tahoma" w:cs="Tahoma"/>
                <w:b/>
                <w:bCs/>
                <w:color w:val="000000"/>
                <w:lang w:eastAsia="es-CO"/>
              </w:rPr>
              <w:t>9</w:t>
            </w:r>
            <w:r w:rsidR="00CA403B" w:rsidRPr="002F36AD">
              <w:rPr>
                <w:rFonts w:ascii="Tahoma" w:eastAsia="Times New Roman" w:hAnsi="Tahoma" w:cs="Tahoma"/>
                <w:b/>
                <w:bCs/>
                <w:color w:val="000000"/>
                <w:lang w:eastAsia="es-CO"/>
              </w:rPr>
              <w:t>1</w:t>
            </w:r>
          </w:p>
        </w:tc>
      </w:tr>
      <w:tr w:rsidR="00FF100B" w:rsidRPr="00B72AEA" w14:paraId="2DE9C5BB" w14:textId="77777777" w:rsidTr="00C35E53">
        <w:trPr>
          <w:trHeight w:val="315"/>
          <w:jc w:val="center"/>
        </w:trPr>
        <w:tc>
          <w:tcPr>
            <w:tcW w:w="3919" w:type="dxa"/>
            <w:tcBorders>
              <w:top w:val="nil"/>
              <w:left w:val="nil"/>
              <w:bottom w:val="nil"/>
              <w:right w:val="nil"/>
            </w:tcBorders>
            <w:shd w:val="clear" w:color="auto" w:fill="auto"/>
            <w:vAlign w:val="center"/>
            <w:hideMark/>
          </w:tcPr>
          <w:p w14:paraId="3BBE0034" w14:textId="77777777" w:rsidR="00FF100B" w:rsidRPr="00B72AEA" w:rsidRDefault="00FF100B" w:rsidP="00CE7451">
            <w:pPr>
              <w:rPr>
                <w:rFonts w:ascii="Tahoma" w:eastAsia="Times New Roman" w:hAnsi="Tahoma" w:cs="Tahoma"/>
                <w:color w:val="000000"/>
                <w:sz w:val="18"/>
                <w:szCs w:val="18"/>
                <w:lang w:eastAsia="es-CO"/>
              </w:rPr>
            </w:pPr>
          </w:p>
        </w:tc>
        <w:tc>
          <w:tcPr>
            <w:tcW w:w="1845" w:type="dxa"/>
            <w:tcBorders>
              <w:top w:val="nil"/>
              <w:left w:val="nil"/>
              <w:bottom w:val="nil"/>
              <w:right w:val="nil"/>
            </w:tcBorders>
            <w:shd w:val="clear" w:color="auto" w:fill="auto"/>
            <w:vAlign w:val="center"/>
            <w:hideMark/>
          </w:tcPr>
          <w:p w14:paraId="031A9599" w14:textId="77777777" w:rsidR="00FF100B" w:rsidRPr="00B72AEA" w:rsidRDefault="00FF100B" w:rsidP="00CE7451">
            <w:pPr>
              <w:jc w:val="center"/>
              <w:rPr>
                <w:rFonts w:ascii="Tahoma" w:eastAsia="Times New Roman" w:hAnsi="Tahoma" w:cs="Tahoma"/>
                <w:color w:val="000000"/>
                <w:sz w:val="18"/>
                <w:szCs w:val="18"/>
                <w:lang w:eastAsia="es-CO"/>
              </w:rPr>
            </w:pPr>
          </w:p>
        </w:tc>
      </w:tr>
      <w:tr w:rsidR="00FF100B" w:rsidRPr="00B72AEA" w14:paraId="26C49034" w14:textId="77777777" w:rsidTr="00C35E53">
        <w:trPr>
          <w:trHeight w:val="315"/>
          <w:jc w:val="center"/>
        </w:trPr>
        <w:tc>
          <w:tcPr>
            <w:tcW w:w="391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ALTO</w:t>
            </w:r>
          </w:p>
        </w:tc>
        <w:tc>
          <w:tcPr>
            <w:tcW w:w="1845" w:type="dxa"/>
            <w:tcBorders>
              <w:top w:val="single" w:sz="8" w:space="0" w:color="auto"/>
              <w:left w:val="nil"/>
              <w:bottom w:val="single" w:sz="8" w:space="0" w:color="auto"/>
              <w:right w:val="single" w:sz="8" w:space="0" w:color="auto"/>
            </w:tcBorders>
            <w:shd w:val="clear" w:color="000000" w:fill="00B050"/>
            <w:vAlign w:val="center"/>
            <w:hideMark/>
          </w:tcPr>
          <w:p w14:paraId="264E594C" w14:textId="6C818F73"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90,1 -</w:t>
            </w:r>
            <w:r w:rsidR="00FF100B" w:rsidRPr="008222C8">
              <w:rPr>
                <w:rFonts w:ascii="Tahoma" w:eastAsia="Times New Roman" w:hAnsi="Tahoma" w:cs="Tahoma"/>
                <w:b/>
                <w:color w:val="000000"/>
                <w:sz w:val="18"/>
                <w:szCs w:val="18"/>
                <w:lang w:eastAsia="es-CO"/>
              </w:rPr>
              <w:t xml:space="preserve">100% </w:t>
            </w:r>
          </w:p>
        </w:tc>
      </w:tr>
      <w:tr w:rsidR="00FF100B" w:rsidRPr="00B72AEA" w14:paraId="604589C3"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MEDIO</w:t>
            </w:r>
          </w:p>
        </w:tc>
        <w:tc>
          <w:tcPr>
            <w:tcW w:w="1845" w:type="dxa"/>
            <w:tcBorders>
              <w:top w:val="nil"/>
              <w:left w:val="nil"/>
              <w:bottom w:val="single" w:sz="8" w:space="0" w:color="auto"/>
              <w:right w:val="single" w:sz="8" w:space="0" w:color="auto"/>
            </w:tcBorders>
            <w:shd w:val="clear" w:color="000000" w:fill="FFFF00"/>
            <w:vAlign w:val="center"/>
            <w:hideMark/>
          </w:tcPr>
          <w:p w14:paraId="7CD70772" w14:textId="25B93EF1"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60,1 -</w:t>
            </w:r>
            <w:r w:rsidR="00FF100B" w:rsidRPr="008222C8">
              <w:rPr>
                <w:rFonts w:ascii="Tahoma" w:eastAsia="Times New Roman" w:hAnsi="Tahoma" w:cs="Tahoma"/>
                <w:b/>
                <w:color w:val="000000"/>
                <w:sz w:val="18"/>
                <w:szCs w:val="18"/>
                <w:lang w:eastAsia="es-CO"/>
              </w:rPr>
              <w:t xml:space="preserve">90% </w:t>
            </w:r>
          </w:p>
        </w:tc>
      </w:tr>
      <w:tr w:rsidR="00FF100B" w:rsidRPr="00B72AEA" w14:paraId="795340D7"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BAJO</w:t>
            </w:r>
          </w:p>
        </w:tc>
        <w:tc>
          <w:tcPr>
            <w:tcW w:w="1845" w:type="dxa"/>
            <w:tcBorders>
              <w:top w:val="nil"/>
              <w:left w:val="nil"/>
              <w:bottom w:val="single" w:sz="8" w:space="0" w:color="auto"/>
              <w:right w:val="single" w:sz="8" w:space="0" w:color="auto"/>
            </w:tcBorders>
            <w:shd w:val="clear" w:color="000000" w:fill="FF0000"/>
            <w:vAlign w:val="center"/>
            <w:hideMark/>
          </w:tcPr>
          <w:p w14:paraId="5E122646" w14:textId="11F7EABA"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 xml:space="preserve">0 - </w:t>
            </w:r>
            <w:r w:rsidR="00FF100B" w:rsidRPr="008222C8">
              <w:rPr>
                <w:rFonts w:ascii="Tahoma" w:eastAsia="Times New Roman" w:hAnsi="Tahoma" w:cs="Tahoma"/>
                <w:b/>
                <w:color w:val="000000"/>
                <w:sz w:val="18"/>
                <w:szCs w:val="18"/>
                <w:lang w:eastAsia="es-CO"/>
              </w:rPr>
              <w:t xml:space="preserve">60% </w:t>
            </w:r>
          </w:p>
        </w:tc>
      </w:tr>
    </w:tbl>
    <w:p w14:paraId="38B2664B" w14:textId="77777777" w:rsidR="002B6AFD" w:rsidRDefault="002B6AFD"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817"/>
        <w:gridCol w:w="8237"/>
      </w:tblGrid>
      <w:tr w:rsidR="002B6AFD" w:rsidRPr="004B76E3" w14:paraId="1E427F5D" w14:textId="17C00A6E" w:rsidTr="002B15B4">
        <w:trPr>
          <w:trHeight w:val="362"/>
        </w:trPr>
        <w:tc>
          <w:tcPr>
            <w:tcW w:w="9054" w:type="dxa"/>
            <w:gridSpan w:val="2"/>
            <w:shd w:val="clear" w:color="auto" w:fill="D9D9D9" w:themeFill="background1" w:themeFillShade="D9"/>
            <w:vAlign w:val="center"/>
          </w:tcPr>
          <w:p w14:paraId="3D5CDF60" w14:textId="2D34FD8D" w:rsidR="002B6AFD" w:rsidRDefault="002B6AFD" w:rsidP="00095FA2">
            <w:pPr>
              <w:jc w:val="center"/>
              <w:rPr>
                <w:rFonts w:ascii="Tahoma" w:hAnsi="Tahoma" w:cs="Tahoma"/>
                <w:b/>
                <w:sz w:val="22"/>
                <w:szCs w:val="22"/>
              </w:rPr>
            </w:pPr>
            <w:r>
              <w:rPr>
                <w:rFonts w:ascii="Tahoma" w:hAnsi="Tahoma" w:cs="Tahoma"/>
                <w:b/>
                <w:sz w:val="22"/>
                <w:szCs w:val="22"/>
              </w:rPr>
              <w:t>7. HALLAZGOS</w:t>
            </w:r>
          </w:p>
        </w:tc>
      </w:tr>
      <w:tr w:rsidR="002B6AFD" w:rsidRPr="00880DA6" w14:paraId="049AEF89" w14:textId="2EF22F4E" w:rsidTr="00095FA2">
        <w:trPr>
          <w:trHeight w:val="660"/>
        </w:trPr>
        <w:tc>
          <w:tcPr>
            <w:tcW w:w="817" w:type="dxa"/>
            <w:vAlign w:val="center"/>
            <w:hideMark/>
          </w:tcPr>
          <w:p w14:paraId="44296F2D" w14:textId="4CFAE8C8" w:rsidR="002B6AFD" w:rsidRPr="00880DA6" w:rsidRDefault="002B6AFD" w:rsidP="00095FA2">
            <w:pPr>
              <w:jc w:val="both"/>
              <w:rPr>
                <w:rFonts w:ascii="Tahoma" w:hAnsi="Tahoma" w:cs="Tahoma"/>
                <w:bCs/>
                <w:sz w:val="22"/>
                <w:szCs w:val="22"/>
              </w:rPr>
            </w:pPr>
            <w:r w:rsidRPr="004B76E3">
              <w:rPr>
                <w:rFonts w:ascii="Tahoma" w:hAnsi="Tahoma" w:cs="Tahoma"/>
                <w:b/>
                <w:bCs/>
                <w:sz w:val="22"/>
                <w:szCs w:val="22"/>
              </w:rPr>
              <w:t>N° 1</w:t>
            </w:r>
          </w:p>
        </w:tc>
        <w:tc>
          <w:tcPr>
            <w:tcW w:w="8237" w:type="dxa"/>
          </w:tcPr>
          <w:p w14:paraId="1C0D9D7A" w14:textId="4009AA58" w:rsidR="002B6AFD" w:rsidRDefault="002B6AFD" w:rsidP="00095FA2">
            <w:pPr>
              <w:jc w:val="both"/>
              <w:rPr>
                <w:rFonts w:ascii="Tahoma" w:hAnsi="Tahoma" w:cs="Tahoma"/>
                <w:bCs/>
                <w:sz w:val="22"/>
                <w:szCs w:val="22"/>
                <w:lang w:val="es-CO"/>
              </w:rPr>
            </w:pPr>
            <w:r>
              <w:rPr>
                <w:rFonts w:ascii="Tahoma" w:hAnsi="Tahoma" w:cs="Tahoma"/>
                <w:bCs/>
                <w:color w:val="000000" w:themeColor="text1"/>
                <w:sz w:val="22"/>
                <w:szCs w:val="22"/>
              </w:rPr>
              <w:t>No se encontró publicado el Mapa de Riesgos de Corrupción de la Alcaldía de Manizales correspondiente a la vigencia 2016, en la página web de la Alcaldía, contraviniendo lo preceptuado en la Guía “Estrategias para la construcción del Plan Anticorrupción y de Atención al Ciudadano – Versión 2”, emanada de la Presidencia de la República.</w:t>
            </w:r>
          </w:p>
        </w:tc>
      </w:tr>
      <w:tr w:rsidR="002B6AFD" w:rsidRPr="00880DA6" w14:paraId="39AC19DA" w14:textId="515F1880" w:rsidTr="00095FA2">
        <w:trPr>
          <w:trHeight w:val="660"/>
        </w:trPr>
        <w:tc>
          <w:tcPr>
            <w:tcW w:w="817" w:type="dxa"/>
            <w:vAlign w:val="center"/>
          </w:tcPr>
          <w:p w14:paraId="354BD80C" w14:textId="50C1264C" w:rsidR="002B6AFD" w:rsidRDefault="002B6AFD" w:rsidP="00095FA2">
            <w:pPr>
              <w:jc w:val="both"/>
              <w:rPr>
                <w:rFonts w:ascii="Tahoma" w:hAnsi="Tahoma" w:cs="Tahoma"/>
                <w:bCs/>
                <w:sz w:val="22"/>
                <w:szCs w:val="22"/>
                <w:lang w:val="es-CO"/>
              </w:rPr>
            </w:pPr>
            <w:r>
              <w:rPr>
                <w:rFonts w:ascii="Tahoma" w:hAnsi="Tahoma" w:cs="Tahoma"/>
                <w:b/>
                <w:bCs/>
                <w:sz w:val="22"/>
                <w:szCs w:val="22"/>
              </w:rPr>
              <w:t>N°2</w:t>
            </w:r>
          </w:p>
        </w:tc>
        <w:tc>
          <w:tcPr>
            <w:tcW w:w="8237" w:type="dxa"/>
          </w:tcPr>
          <w:p w14:paraId="483BD5C5" w14:textId="0CCFB61A" w:rsidR="002B6AFD" w:rsidRDefault="00F325D8" w:rsidP="00C97DEA">
            <w:pPr>
              <w:jc w:val="both"/>
              <w:rPr>
                <w:rFonts w:ascii="Tahoma" w:hAnsi="Tahoma" w:cs="Tahoma"/>
                <w:bCs/>
                <w:sz w:val="22"/>
                <w:szCs w:val="22"/>
                <w:lang w:val="es-CO"/>
              </w:rPr>
            </w:pPr>
            <w:r>
              <w:rPr>
                <w:rFonts w:ascii="Tahoma" w:hAnsi="Tahoma" w:cs="Tahoma"/>
                <w:bCs/>
                <w:sz w:val="22"/>
                <w:szCs w:val="22"/>
                <w:lang w:val="es-CO"/>
              </w:rPr>
              <w:t xml:space="preserve">No se evidencian actividades o acciones ADICIONALES </w:t>
            </w:r>
            <w:r w:rsidR="002B6AFD">
              <w:rPr>
                <w:rFonts w:ascii="Tahoma" w:hAnsi="Tahoma" w:cs="Tahoma"/>
                <w:bCs/>
                <w:sz w:val="22"/>
                <w:szCs w:val="22"/>
                <w:lang w:val="es-CO"/>
              </w:rPr>
              <w:t>en el Componente</w:t>
            </w:r>
            <w:r>
              <w:rPr>
                <w:rFonts w:ascii="Tahoma" w:hAnsi="Tahoma" w:cs="Tahoma"/>
                <w:bCs/>
                <w:sz w:val="22"/>
                <w:szCs w:val="22"/>
                <w:lang w:val="es-CO"/>
              </w:rPr>
              <w:t xml:space="preserve"> de</w:t>
            </w:r>
            <w:r w:rsidR="002B6AFD">
              <w:rPr>
                <w:rFonts w:ascii="Tahoma" w:hAnsi="Tahoma" w:cs="Tahoma"/>
                <w:bCs/>
                <w:sz w:val="22"/>
                <w:szCs w:val="22"/>
                <w:lang w:val="es-CO"/>
              </w:rPr>
              <w:t xml:space="preserve"> “Iniciativas Adicionales”</w:t>
            </w:r>
            <w:r>
              <w:rPr>
                <w:rFonts w:ascii="Tahoma" w:hAnsi="Tahoma" w:cs="Tahoma"/>
                <w:bCs/>
                <w:sz w:val="22"/>
                <w:szCs w:val="22"/>
                <w:lang w:val="es-CO"/>
              </w:rPr>
              <w:t>, ya que todas las acciones propuestas ob</w:t>
            </w:r>
            <w:r w:rsidR="00C97DEA">
              <w:rPr>
                <w:rFonts w:ascii="Tahoma" w:hAnsi="Tahoma" w:cs="Tahoma"/>
                <w:bCs/>
                <w:sz w:val="22"/>
                <w:szCs w:val="22"/>
                <w:lang w:val="es-CO"/>
              </w:rPr>
              <w:t>edecen</w:t>
            </w:r>
            <w:r>
              <w:rPr>
                <w:rFonts w:ascii="Tahoma" w:hAnsi="Tahoma" w:cs="Tahoma"/>
                <w:bCs/>
                <w:sz w:val="22"/>
                <w:szCs w:val="22"/>
                <w:lang w:val="es-CO"/>
              </w:rPr>
              <w:t xml:space="preserve"> al cumplimiento de la norma y no generan un esfuerzo superior a línea ya establecido por la Ley de Trasparencia y Contratación </w:t>
            </w:r>
            <w:r w:rsidR="009C1DC3">
              <w:rPr>
                <w:rFonts w:ascii="Tahoma" w:hAnsi="Tahoma" w:cs="Tahoma"/>
                <w:bCs/>
                <w:sz w:val="22"/>
                <w:szCs w:val="22"/>
                <w:lang w:val="es-CO"/>
              </w:rPr>
              <w:t>Pública, incumpliendo así el sexto</w:t>
            </w:r>
            <w:r>
              <w:rPr>
                <w:rFonts w:ascii="Tahoma" w:hAnsi="Tahoma" w:cs="Tahoma"/>
                <w:bCs/>
                <w:sz w:val="22"/>
                <w:szCs w:val="22"/>
                <w:lang w:val="es-CO"/>
              </w:rPr>
              <w:t xml:space="preserve"> componente de </w:t>
            </w:r>
            <w:r>
              <w:rPr>
                <w:rFonts w:ascii="Tahoma" w:hAnsi="Tahoma" w:cs="Tahoma"/>
                <w:bCs/>
                <w:color w:val="000000" w:themeColor="text1"/>
                <w:sz w:val="22"/>
                <w:szCs w:val="22"/>
              </w:rPr>
              <w:t>la Guía “Estrategias para la construcción del Plan Anticorrupción y de Atención al Ciudadano – Versión 2”, emanada de la Presidencia de la República.</w:t>
            </w:r>
            <w:r>
              <w:rPr>
                <w:rFonts w:ascii="Tahoma" w:hAnsi="Tahoma" w:cs="Tahoma"/>
                <w:bCs/>
                <w:sz w:val="22"/>
                <w:szCs w:val="22"/>
                <w:lang w:val="es-CO"/>
              </w:rPr>
              <w:t xml:space="preserve"> </w:t>
            </w:r>
          </w:p>
        </w:tc>
      </w:tr>
      <w:tr w:rsidR="002B6AFD" w:rsidRPr="00880DA6" w14:paraId="76E07ED5" w14:textId="3A84B64A" w:rsidTr="002B6AFD">
        <w:trPr>
          <w:trHeight w:val="660"/>
        </w:trPr>
        <w:tc>
          <w:tcPr>
            <w:tcW w:w="817" w:type="dxa"/>
          </w:tcPr>
          <w:p w14:paraId="46123FC1" w14:textId="77777777" w:rsidR="002B6AFD" w:rsidRDefault="002B6AFD" w:rsidP="002B6AFD">
            <w:pPr>
              <w:jc w:val="center"/>
              <w:rPr>
                <w:rFonts w:ascii="Tahoma" w:hAnsi="Tahoma" w:cs="Tahoma"/>
                <w:b/>
                <w:bCs/>
                <w:sz w:val="22"/>
                <w:szCs w:val="22"/>
              </w:rPr>
            </w:pPr>
          </w:p>
          <w:p w14:paraId="4524A6B4" w14:textId="77777777" w:rsidR="002B6AFD" w:rsidRDefault="002B6AFD" w:rsidP="002B6AFD">
            <w:pPr>
              <w:jc w:val="center"/>
              <w:rPr>
                <w:rFonts w:ascii="Tahoma" w:hAnsi="Tahoma" w:cs="Tahoma"/>
                <w:b/>
                <w:bCs/>
                <w:sz w:val="22"/>
                <w:szCs w:val="22"/>
              </w:rPr>
            </w:pPr>
          </w:p>
          <w:p w14:paraId="2A1C2E32" w14:textId="77777777" w:rsidR="002B6AFD" w:rsidRDefault="002B6AFD" w:rsidP="002B6AFD">
            <w:pPr>
              <w:jc w:val="center"/>
              <w:rPr>
                <w:rFonts w:ascii="Tahoma" w:hAnsi="Tahoma" w:cs="Tahoma"/>
                <w:b/>
                <w:bCs/>
                <w:sz w:val="22"/>
                <w:szCs w:val="22"/>
              </w:rPr>
            </w:pPr>
          </w:p>
          <w:p w14:paraId="1624EFBC" w14:textId="77777777" w:rsidR="002B6AFD" w:rsidRDefault="002B6AFD" w:rsidP="002B6AFD">
            <w:pPr>
              <w:jc w:val="center"/>
              <w:rPr>
                <w:rFonts w:ascii="Tahoma" w:hAnsi="Tahoma" w:cs="Tahoma"/>
                <w:b/>
                <w:bCs/>
                <w:sz w:val="22"/>
                <w:szCs w:val="22"/>
              </w:rPr>
            </w:pPr>
          </w:p>
          <w:p w14:paraId="3B5CEC42" w14:textId="3F235607" w:rsidR="002B6AFD" w:rsidRDefault="002B6AFD" w:rsidP="002B6AFD">
            <w:pPr>
              <w:jc w:val="center"/>
              <w:rPr>
                <w:rFonts w:ascii="Tahoma" w:hAnsi="Tahoma" w:cs="Tahoma"/>
                <w:bCs/>
                <w:sz w:val="22"/>
                <w:szCs w:val="22"/>
                <w:lang w:val="es-CO"/>
              </w:rPr>
            </w:pPr>
            <w:r>
              <w:rPr>
                <w:rFonts w:ascii="Tahoma" w:hAnsi="Tahoma" w:cs="Tahoma"/>
                <w:b/>
                <w:bCs/>
                <w:sz w:val="22"/>
                <w:szCs w:val="22"/>
              </w:rPr>
              <w:t>N°3</w:t>
            </w:r>
          </w:p>
        </w:tc>
        <w:tc>
          <w:tcPr>
            <w:tcW w:w="8237" w:type="dxa"/>
          </w:tcPr>
          <w:p w14:paraId="105218EA" w14:textId="21C97DE0" w:rsidR="002B6AFD" w:rsidRDefault="000F7A18" w:rsidP="009C1DC3">
            <w:pPr>
              <w:jc w:val="both"/>
              <w:rPr>
                <w:rFonts w:ascii="Tahoma" w:hAnsi="Tahoma" w:cs="Tahoma"/>
                <w:bCs/>
                <w:sz w:val="22"/>
                <w:szCs w:val="22"/>
                <w:lang w:val="es-CO"/>
              </w:rPr>
            </w:pPr>
            <w:r>
              <w:rPr>
                <w:rFonts w:ascii="Tahoma" w:hAnsi="Tahoma" w:cs="Tahoma"/>
                <w:color w:val="000000"/>
                <w:sz w:val="22"/>
                <w:szCs w:val="22"/>
                <w:shd w:val="clear" w:color="auto" w:fill="FFFFFF"/>
              </w:rPr>
              <w:t xml:space="preserve">No se evidencia la revisión correspondiente a la vigencia 2016 de la Política de Administración del Riesgo a la luz de la </w:t>
            </w:r>
            <w:r>
              <w:rPr>
                <w:rFonts w:ascii="Tahoma" w:hAnsi="Tahoma" w:cs="Tahoma"/>
                <w:bCs/>
                <w:sz w:val="22"/>
                <w:szCs w:val="22"/>
              </w:rPr>
              <w:t>“Guía para la Gestión del Riesgo de Corrupción de la Presidencia de la República versión 2015”</w:t>
            </w:r>
            <w:r>
              <w:rPr>
                <w:rFonts w:ascii="Tahoma" w:hAnsi="Tahoma" w:cs="Tahoma"/>
                <w:color w:val="000000"/>
                <w:sz w:val="22"/>
                <w:szCs w:val="22"/>
                <w:shd w:val="clear" w:color="auto" w:fill="FFFFFF"/>
              </w:rPr>
              <w:t xml:space="preserve">  por parte del Comité de Coordinación de Control Interno</w:t>
            </w:r>
            <w:r w:rsidR="00342EDC">
              <w:rPr>
                <w:rFonts w:ascii="Tahoma" w:hAnsi="Tahoma" w:cs="Tahoma"/>
                <w:color w:val="000000"/>
                <w:sz w:val="22"/>
                <w:szCs w:val="22"/>
                <w:shd w:val="clear" w:color="auto" w:fill="FFFFFF"/>
              </w:rPr>
              <w:t xml:space="preserve"> de la Alcaldía de Manizales, conforme lo establece el artículo 5° del Decreto 1826 del 3 de agosto de 1994 “Por el cual se reglamenta parcialmente la Ley 87 de 1993 y el Decreto 943 del 21 de mayo de 2014 “Por el cual se actualiza el Modelo Estándar de Control Interno (MECI)”.</w:t>
            </w:r>
          </w:p>
        </w:tc>
      </w:tr>
      <w:tr w:rsidR="002B6AFD" w:rsidRPr="004B76E3" w14:paraId="6A5B6482" w14:textId="77777777" w:rsidTr="002B15B4">
        <w:trPr>
          <w:trHeight w:val="362"/>
        </w:trPr>
        <w:tc>
          <w:tcPr>
            <w:tcW w:w="9054" w:type="dxa"/>
            <w:gridSpan w:val="2"/>
            <w:shd w:val="clear" w:color="auto" w:fill="D9D9D9" w:themeFill="background1" w:themeFillShade="D9"/>
            <w:vAlign w:val="center"/>
          </w:tcPr>
          <w:p w14:paraId="376CF763" w14:textId="47452818" w:rsidR="002B6AFD" w:rsidRDefault="002B6AFD" w:rsidP="00095FA2">
            <w:pPr>
              <w:jc w:val="center"/>
              <w:rPr>
                <w:rFonts w:ascii="Tahoma" w:hAnsi="Tahoma" w:cs="Tahoma"/>
                <w:b/>
                <w:sz w:val="22"/>
                <w:szCs w:val="22"/>
              </w:rPr>
            </w:pPr>
            <w:r>
              <w:rPr>
                <w:rFonts w:ascii="Tahoma" w:hAnsi="Tahoma" w:cs="Tahoma"/>
                <w:b/>
                <w:sz w:val="22"/>
                <w:szCs w:val="22"/>
              </w:rPr>
              <w:lastRenderedPageBreak/>
              <w:t>8. RECOMENDACIONES</w:t>
            </w:r>
          </w:p>
        </w:tc>
      </w:tr>
      <w:tr w:rsidR="002B6AFD" w:rsidRPr="00880DA6" w14:paraId="20E8B7E2" w14:textId="77777777" w:rsidTr="00095FA2">
        <w:trPr>
          <w:trHeight w:val="660"/>
        </w:trPr>
        <w:tc>
          <w:tcPr>
            <w:tcW w:w="817" w:type="dxa"/>
            <w:vAlign w:val="center"/>
            <w:hideMark/>
          </w:tcPr>
          <w:p w14:paraId="5C0CBFCD" w14:textId="64053FF4" w:rsidR="002B6AFD" w:rsidRPr="00880DA6" w:rsidRDefault="002B6AFD" w:rsidP="00095FA2">
            <w:pPr>
              <w:jc w:val="both"/>
              <w:rPr>
                <w:rFonts w:ascii="Tahoma" w:hAnsi="Tahoma" w:cs="Tahoma"/>
                <w:bCs/>
                <w:sz w:val="22"/>
                <w:szCs w:val="22"/>
              </w:rPr>
            </w:pPr>
            <w:r w:rsidRPr="004B76E3">
              <w:rPr>
                <w:rFonts w:ascii="Tahoma" w:hAnsi="Tahoma" w:cs="Tahoma"/>
                <w:b/>
                <w:bCs/>
                <w:sz w:val="22"/>
                <w:szCs w:val="22"/>
              </w:rPr>
              <w:t>N°1</w:t>
            </w:r>
          </w:p>
        </w:tc>
        <w:tc>
          <w:tcPr>
            <w:tcW w:w="8237" w:type="dxa"/>
          </w:tcPr>
          <w:p w14:paraId="67FB4642" w14:textId="77777777" w:rsidR="00CF7F9B" w:rsidRDefault="002B6AFD" w:rsidP="00095FA2">
            <w:pPr>
              <w:jc w:val="both"/>
              <w:rPr>
                <w:rFonts w:ascii="Tahoma" w:hAnsi="Tahoma" w:cs="Tahoma"/>
                <w:bCs/>
                <w:sz w:val="22"/>
                <w:szCs w:val="22"/>
                <w:lang w:val="es-CO"/>
              </w:rPr>
            </w:pPr>
            <w:r>
              <w:rPr>
                <w:rFonts w:ascii="Tahoma" w:hAnsi="Tahoma" w:cs="Tahoma"/>
                <w:bCs/>
                <w:sz w:val="22"/>
                <w:szCs w:val="22"/>
                <w:lang w:val="es-CO"/>
              </w:rPr>
              <w:t>Es importante que se generen mecanismos para promocionar y divulgar el Plan Anticorrupción y de Atención al ciudadano 2016, dentro de la estrategia de Rendición de Cuentas y de esta manera dar cumplimiento al documento Estrategias para la Construcción del Plan Anticorrupción y de Atención al ciudadano Versión 2 -2015, emanado de la Presidencia de la República.</w:t>
            </w:r>
          </w:p>
          <w:p w14:paraId="7026F097" w14:textId="056A1D53" w:rsidR="002B15B4" w:rsidRDefault="002B15B4" w:rsidP="00095FA2">
            <w:pPr>
              <w:jc w:val="both"/>
              <w:rPr>
                <w:rFonts w:ascii="Tahoma" w:hAnsi="Tahoma" w:cs="Tahoma"/>
                <w:bCs/>
                <w:sz w:val="22"/>
                <w:szCs w:val="22"/>
                <w:lang w:val="es-CO"/>
              </w:rPr>
            </w:pPr>
          </w:p>
        </w:tc>
      </w:tr>
      <w:tr w:rsidR="002B6AFD" w:rsidRPr="00880DA6" w14:paraId="7B872EA7" w14:textId="77777777" w:rsidTr="00095FA2">
        <w:trPr>
          <w:trHeight w:val="660"/>
        </w:trPr>
        <w:tc>
          <w:tcPr>
            <w:tcW w:w="817" w:type="dxa"/>
            <w:vAlign w:val="center"/>
          </w:tcPr>
          <w:p w14:paraId="1AE329A7" w14:textId="3E1C2F11" w:rsidR="002B6AFD" w:rsidRDefault="002B6AFD" w:rsidP="00095FA2">
            <w:pPr>
              <w:jc w:val="both"/>
              <w:rPr>
                <w:rFonts w:ascii="Tahoma" w:hAnsi="Tahoma" w:cs="Tahoma"/>
                <w:bCs/>
                <w:sz w:val="22"/>
                <w:szCs w:val="22"/>
                <w:lang w:val="es-CO"/>
              </w:rPr>
            </w:pPr>
            <w:r w:rsidRPr="004B76E3">
              <w:rPr>
                <w:rFonts w:ascii="Tahoma" w:hAnsi="Tahoma" w:cs="Tahoma"/>
                <w:b/>
                <w:bCs/>
                <w:sz w:val="22"/>
                <w:szCs w:val="22"/>
              </w:rPr>
              <w:t>N°2</w:t>
            </w:r>
          </w:p>
        </w:tc>
        <w:tc>
          <w:tcPr>
            <w:tcW w:w="8237" w:type="dxa"/>
          </w:tcPr>
          <w:p w14:paraId="2DC350FB" w14:textId="77777777" w:rsidR="002B6AFD" w:rsidRDefault="002B6AFD" w:rsidP="00095FA2">
            <w:pPr>
              <w:jc w:val="both"/>
              <w:rPr>
                <w:rFonts w:ascii="Tahoma" w:hAnsi="Tahoma" w:cs="Tahoma"/>
                <w:bCs/>
                <w:sz w:val="22"/>
                <w:szCs w:val="22"/>
                <w:lang w:val="es-CO"/>
              </w:rPr>
            </w:pPr>
            <w:r>
              <w:rPr>
                <w:rFonts w:ascii="Tahoma" w:hAnsi="Tahoma" w:cs="Tahoma"/>
                <w:bCs/>
                <w:sz w:val="22"/>
                <w:szCs w:val="22"/>
                <w:lang w:val="es-CO"/>
              </w:rPr>
              <w:t xml:space="preserve">Es conveniente que se gestionen los riesgos de corrupción de conformidad con los lineamientos establecidos en la Guía para la Gestión del Riesgo de Corrupción 2015 de la Presidencia de la República, con el fin de realizar un </w:t>
            </w:r>
            <w:r w:rsidRPr="000A11C4">
              <w:rPr>
                <w:rFonts w:ascii="Tahoma" w:hAnsi="Tahoma" w:cs="Tahoma"/>
                <w:bCs/>
                <w:sz w:val="22"/>
                <w:szCs w:val="22"/>
                <w:lang w:val="es-CO"/>
              </w:rPr>
              <w:t>proceso participativo que involucre</w:t>
            </w:r>
            <w:r>
              <w:rPr>
                <w:rFonts w:ascii="Tahoma" w:hAnsi="Tahoma" w:cs="Tahoma"/>
                <w:bCs/>
                <w:sz w:val="22"/>
                <w:szCs w:val="22"/>
                <w:lang w:val="es-CO"/>
              </w:rPr>
              <w:t xml:space="preserve"> </w:t>
            </w:r>
            <w:r w:rsidRPr="000A11C4">
              <w:rPr>
                <w:rFonts w:ascii="Tahoma" w:hAnsi="Tahoma" w:cs="Tahoma"/>
                <w:bCs/>
                <w:sz w:val="22"/>
                <w:szCs w:val="22"/>
                <w:lang w:val="es-CO"/>
              </w:rPr>
              <w:t>actores internos y externos de la entidad.</w:t>
            </w:r>
          </w:p>
          <w:p w14:paraId="17C1A943" w14:textId="654E3C3F" w:rsidR="002B15B4" w:rsidRDefault="002B15B4" w:rsidP="00095FA2">
            <w:pPr>
              <w:jc w:val="both"/>
              <w:rPr>
                <w:rFonts w:ascii="Tahoma" w:hAnsi="Tahoma" w:cs="Tahoma"/>
                <w:bCs/>
                <w:sz w:val="22"/>
                <w:szCs w:val="22"/>
                <w:lang w:val="es-CO"/>
              </w:rPr>
            </w:pPr>
          </w:p>
        </w:tc>
      </w:tr>
      <w:tr w:rsidR="002B6AFD" w:rsidRPr="00880DA6" w14:paraId="5A60B1B8" w14:textId="77777777" w:rsidTr="00095FA2">
        <w:trPr>
          <w:trHeight w:val="660"/>
        </w:trPr>
        <w:tc>
          <w:tcPr>
            <w:tcW w:w="817" w:type="dxa"/>
            <w:vAlign w:val="center"/>
          </w:tcPr>
          <w:p w14:paraId="0C15A92B" w14:textId="5BD1494E" w:rsidR="002B6AFD" w:rsidRDefault="002B6AFD" w:rsidP="00095FA2">
            <w:pPr>
              <w:jc w:val="both"/>
              <w:rPr>
                <w:rFonts w:ascii="Tahoma" w:hAnsi="Tahoma" w:cs="Tahoma"/>
                <w:bCs/>
                <w:sz w:val="22"/>
                <w:szCs w:val="22"/>
                <w:lang w:val="es-CO"/>
              </w:rPr>
            </w:pPr>
            <w:r w:rsidRPr="004B76E3">
              <w:rPr>
                <w:rFonts w:ascii="Tahoma" w:hAnsi="Tahoma" w:cs="Tahoma"/>
                <w:b/>
                <w:bCs/>
                <w:sz w:val="22"/>
                <w:szCs w:val="22"/>
              </w:rPr>
              <w:t>N°3</w:t>
            </w:r>
          </w:p>
        </w:tc>
        <w:tc>
          <w:tcPr>
            <w:tcW w:w="8237" w:type="dxa"/>
          </w:tcPr>
          <w:p w14:paraId="39068274" w14:textId="77777777" w:rsidR="002B6AFD" w:rsidRDefault="002B6AFD" w:rsidP="00095FA2">
            <w:pPr>
              <w:jc w:val="both"/>
              <w:rPr>
                <w:rFonts w:ascii="Tahoma" w:hAnsi="Tahoma" w:cs="Tahoma"/>
                <w:bCs/>
                <w:sz w:val="22"/>
                <w:szCs w:val="22"/>
                <w:lang w:val="es-CO"/>
              </w:rPr>
            </w:pPr>
            <w:r>
              <w:rPr>
                <w:rFonts w:ascii="Tahoma" w:hAnsi="Tahoma" w:cs="Tahoma"/>
                <w:bCs/>
                <w:sz w:val="22"/>
                <w:szCs w:val="22"/>
                <w:lang w:val="es-CO"/>
              </w:rPr>
              <w:t xml:space="preserve">Es importante que se diseñe y </w:t>
            </w:r>
            <w:r w:rsidR="006906A2">
              <w:rPr>
                <w:rFonts w:ascii="Tahoma" w:hAnsi="Tahoma" w:cs="Tahoma"/>
                <w:bCs/>
                <w:sz w:val="22"/>
                <w:szCs w:val="22"/>
                <w:lang w:val="es-CO"/>
              </w:rPr>
              <w:t>estandarice</w:t>
            </w:r>
            <w:r>
              <w:rPr>
                <w:rFonts w:ascii="Tahoma" w:hAnsi="Tahoma" w:cs="Tahoma"/>
                <w:bCs/>
                <w:sz w:val="22"/>
                <w:szCs w:val="22"/>
                <w:lang w:val="es-CO"/>
              </w:rPr>
              <w:t xml:space="preserve"> una Estrategia de Rendición de Cuentas que pueda ser aplicada a los dos eventos programados de Rendición de Cuentas para la vigencia 2016, con el fin de evitar desgastes administrativos</w:t>
            </w:r>
            <w:r w:rsidR="006906A2">
              <w:rPr>
                <w:rFonts w:ascii="Tahoma" w:hAnsi="Tahoma" w:cs="Tahoma"/>
                <w:bCs/>
                <w:sz w:val="22"/>
                <w:szCs w:val="22"/>
                <w:lang w:val="es-CO"/>
              </w:rPr>
              <w:t xml:space="preserve"> organizando una estrategia para cada evento</w:t>
            </w:r>
            <w:r>
              <w:rPr>
                <w:rFonts w:ascii="Tahoma" w:hAnsi="Tahoma" w:cs="Tahoma"/>
                <w:bCs/>
                <w:sz w:val="22"/>
                <w:szCs w:val="22"/>
                <w:lang w:val="es-CO"/>
              </w:rPr>
              <w:t xml:space="preserve"> y de esta manera propiciar el mejoramiento continuo del proceso.</w:t>
            </w:r>
          </w:p>
          <w:p w14:paraId="36078AB2" w14:textId="47355D6F" w:rsidR="002B15B4" w:rsidRDefault="002B15B4" w:rsidP="00095FA2">
            <w:pPr>
              <w:jc w:val="both"/>
              <w:rPr>
                <w:rFonts w:ascii="Tahoma" w:hAnsi="Tahoma" w:cs="Tahoma"/>
                <w:bCs/>
                <w:sz w:val="22"/>
                <w:szCs w:val="22"/>
                <w:lang w:val="es-CO"/>
              </w:rPr>
            </w:pPr>
          </w:p>
        </w:tc>
      </w:tr>
      <w:tr w:rsidR="002B6AFD" w:rsidRPr="00880DA6" w14:paraId="55B76131" w14:textId="77777777" w:rsidTr="00095FA2">
        <w:trPr>
          <w:trHeight w:val="660"/>
        </w:trPr>
        <w:tc>
          <w:tcPr>
            <w:tcW w:w="817" w:type="dxa"/>
            <w:vAlign w:val="center"/>
          </w:tcPr>
          <w:p w14:paraId="61D45F59" w14:textId="7718844B" w:rsidR="002B6AFD" w:rsidRPr="004B76E3" w:rsidRDefault="002B6AFD" w:rsidP="00095FA2">
            <w:pPr>
              <w:jc w:val="both"/>
              <w:rPr>
                <w:rFonts w:ascii="Tahoma" w:hAnsi="Tahoma" w:cs="Tahoma"/>
                <w:b/>
                <w:bCs/>
                <w:sz w:val="22"/>
                <w:szCs w:val="22"/>
              </w:rPr>
            </w:pPr>
            <w:r>
              <w:rPr>
                <w:rFonts w:ascii="Tahoma" w:hAnsi="Tahoma" w:cs="Tahoma"/>
                <w:b/>
                <w:bCs/>
                <w:sz w:val="22"/>
                <w:szCs w:val="22"/>
              </w:rPr>
              <w:t>N°4</w:t>
            </w:r>
          </w:p>
        </w:tc>
        <w:tc>
          <w:tcPr>
            <w:tcW w:w="8237" w:type="dxa"/>
          </w:tcPr>
          <w:p w14:paraId="49C76ABD" w14:textId="77777777" w:rsidR="002B6AFD" w:rsidRDefault="002B6AFD" w:rsidP="00095FA2">
            <w:pPr>
              <w:jc w:val="both"/>
              <w:rPr>
                <w:rFonts w:ascii="Tahoma" w:hAnsi="Tahoma" w:cs="Tahoma"/>
                <w:bCs/>
                <w:sz w:val="22"/>
                <w:szCs w:val="22"/>
                <w:lang w:val="es-CO"/>
              </w:rPr>
            </w:pPr>
            <w:r>
              <w:rPr>
                <w:rFonts w:ascii="Tahoma" w:hAnsi="Tahoma" w:cs="Tahoma"/>
                <w:bCs/>
                <w:sz w:val="22"/>
                <w:szCs w:val="22"/>
                <w:lang w:val="es-CO"/>
              </w:rPr>
              <w:t>Es importante que la información publicada en la página web de la Alcaldía sea coherente, toda vez que se observa que la información publicada en el link Institucional- Presupuesto y Finanzas – Presupuesto 2016, no corresponde a la publicada en el Link Transparencia y Acceso a la Información Pública – Presupuesto y Planes de Acción – Presupuesto General Asignado, lo que puede generar desinformación para los funcionarios y para los ciudadanos.</w:t>
            </w:r>
          </w:p>
          <w:p w14:paraId="2B5ACEAC" w14:textId="4D54BF22" w:rsidR="002B15B4" w:rsidRDefault="002B15B4" w:rsidP="00095FA2">
            <w:pPr>
              <w:jc w:val="both"/>
              <w:rPr>
                <w:rFonts w:ascii="Tahoma" w:hAnsi="Tahoma" w:cs="Tahoma"/>
                <w:bCs/>
                <w:sz w:val="22"/>
                <w:szCs w:val="22"/>
                <w:lang w:val="es-CO"/>
              </w:rPr>
            </w:pPr>
          </w:p>
        </w:tc>
      </w:tr>
      <w:tr w:rsidR="002B6AFD" w:rsidRPr="00880DA6" w14:paraId="09CDD6B5" w14:textId="77777777" w:rsidTr="00095FA2">
        <w:trPr>
          <w:trHeight w:val="660"/>
        </w:trPr>
        <w:tc>
          <w:tcPr>
            <w:tcW w:w="817" w:type="dxa"/>
            <w:vAlign w:val="center"/>
          </w:tcPr>
          <w:p w14:paraId="20244120" w14:textId="38B284CB" w:rsidR="002B6AFD" w:rsidRDefault="002B6AFD" w:rsidP="00095FA2">
            <w:pPr>
              <w:jc w:val="both"/>
              <w:rPr>
                <w:rFonts w:ascii="Tahoma" w:hAnsi="Tahoma" w:cs="Tahoma"/>
                <w:b/>
                <w:bCs/>
                <w:sz w:val="22"/>
                <w:szCs w:val="22"/>
              </w:rPr>
            </w:pPr>
            <w:r>
              <w:rPr>
                <w:rFonts w:ascii="Tahoma" w:hAnsi="Tahoma" w:cs="Tahoma"/>
                <w:b/>
                <w:bCs/>
                <w:sz w:val="22"/>
                <w:szCs w:val="22"/>
              </w:rPr>
              <w:t>N°5</w:t>
            </w:r>
          </w:p>
        </w:tc>
        <w:tc>
          <w:tcPr>
            <w:tcW w:w="8237" w:type="dxa"/>
          </w:tcPr>
          <w:p w14:paraId="0256C342" w14:textId="77777777" w:rsidR="002B6AFD" w:rsidRDefault="002B6AFD" w:rsidP="00095FA2">
            <w:pPr>
              <w:jc w:val="both"/>
              <w:rPr>
                <w:rFonts w:ascii="Tahoma" w:hAnsi="Tahoma" w:cs="Tahoma"/>
                <w:bCs/>
                <w:sz w:val="22"/>
                <w:szCs w:val="22"/>
                <w:lang w:val="es-CO"/>
              </w:rPr>
            </w:pPr>
            <w:r w:rsidRPr="008A4692">
              <w:rPr>
                <w:rFonts w:ascii="Tahoma" w:hAnsi="Tahoma" w:cs="Tahoma"/>
                <w:bCs/>
                <w:sz w:val="22"/>
                <w:szCs w:val="22"/>
                <w:lang w:val="es-CO"/>
              </w:rPr>
              <w:t xml:space="preserve">Es conveniente que se diseñen nuevas acciones para desarrollar el componente “POLITÍCAS PARA LA GESTIÓN ÍNTEGRA” dado que la  acción propuesta es “mantener el link al SECOP”, no genera </w:t>
            </w:r>
            <w:r>
              <w:rPr>
                <w:rFonts w:ascii="Tahoma" w:hAnsi="Tahoma" w:cs="Tahoma"/>
                <w:bCs/>
                <w:sz w:val="22"/>
                <w:szCs w:val="22"/>
                <w:lang w:val="es-CO"/>
              </w:rPr>
              <w:t xml:space="preserve">un valor agregado para el fortalecimiento de la integridad, trasparencia y eficiencia en el uso de los recursos. </w:t>
            </w:r>
          </w:p>
          <w:p w14:paraId="29E3234C" w14:textId="79625B48" w:rsidR="002B15B4" w:rsidRDefault="002B15B4" w:rsidP="00095FA2">
            <w:pPr>
              <w:jc w:val="both"/>
              <w:rPr>
                <w:rFonts w:ascii="Tahoma" w:hAnsi="Tahoma" w:cs="Tahoma"/>
                <w:bCs/>
                <w:sz w:val="22"/>
                <w:szCs w:val="22"/>
                <w:lang w:val="es-CO"/>
              </w:rPr>
            </w:pPr>
          </w:p>
        </w:tc>
      </w:tr>
    </w:tbl>
    <w:p w14:paraId="63FFDA7C" w14:textId="4E50B2FD" w:rsidR="002B15B4" w:rsidRDefault="002B15B4" w:rsidP="00942170">
      <w:pPr>
        <w:rPr>
          <w:rFonts w:ascii="Tahoma" w:eastAsia="Times New Roman" w:hAnsi="Tahoma" w:cs="Tahoma"/>
          <w:b/>
          <w:bCs/>
          <w:sz w:val="22"/>
          <w:szCs w:val="22"/>
          <w:lang w:val="es-CO" w:eastAsia="es-CO"/>
        </w:rPr>
      </w:pPr>
    </w:p>
    <w:p w14:paraId="0F0F0573" w14:textId="558D7259" w:rsidR="002B6AFD" w:rsidRDefault="002B15B4" w:rsidP="00942170">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br w:type="page"/>
      </w:r>
    </w:p>
    <w:tbl>
      <w:tblPr>
        <w:tblStyle w:val="Tablaconcuadrcula"/>
        <w:tblW w:w="0" w:type="auto"/>
        <w:shd w:val="clear" w:color="auto" w:fill="D9D9D9" w:themeFill="background1" w:themeFillShade="D9"/>
        <w:tblLook w:val="04A0" w:firstRow="1" w:lastRow="0" w:firstColumn="1" w:lastColumn="0" w:noHBand="0" w:noVBand="1"/>
      </w:tblPr>
      <w:tblGrid>
        <w:gridCol w:w="9054"/>
      </w:tblGrid>
      <w:tr w:rsidR="001E4ECA" w14:paraId="170B26C7" w14:textId="77777777" w:rsidTr="002B15B4">
        <w:trPr>
          <w:trHeight w:val="362"/>
        </w:trPr>
        <w:tc>
          <w:tcPr>
            <w:tcW w:w="9054" w:type="dxa"/>
            <w:shd w:val="clear" w:color="auto" w:fill="D9D9D9" w:themeFill="background1" w:themeFillShade="D9"/>
            <w:vAlign w:val="center"/>
          </w:tcPr>
          <w:p w14:paraId="089A0053" w14:textId="0419BC0C" w:rsidR="001E4ECA" w:rsidRDefault="001E4ECA" w:rsidP="001E4ECA">
            <w:pPr>
              <w:jc w:val="center"/>
              <w:rPr>
                <w:rFonts w:ascii="Tahoma" w:hAnsi="Tahoma" w:cs="Tahoma"/>
                <w:b/>
                <w:sz w:val="22"/>
                <w:szCs w:val="22"/>
              </w:rPr>
            </w:pPr>
            <w:r>
              <w:rPr>
                <w:rFonts w:ascii="Tahoma" w:hAnsi="Tahoma" w:cs="Tahoma"/>
                <w:b/>
                <w:sz w:val="22"/>
                <w:szCs w:val="22"/>
              </w:rPr>
              <w:lastRenderedPageBreak/>
              <w:t xml:space="preserve">9. </w:t>
            </w:r>
            <w:r w:rsidRPr="004B76E3">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3</w:t>
            </w:r>
            <w:r w:rsidRPr="004B76E3">
              <w:rPr>
                <w:rFonts w:ascii="Tahoma" w:eastAsia="Times New Roman" w:hAnsi="Tahoma" w:cs="Tahoma"/>
                <w:b/>
                <w:bCs/>
                <w:sz w:val="22"/>
                <w:szCs w:val="22"/>
                <w:lang w:val="es-CO" w:eastAsia="es-CO"/>
              </w:rPr>
              <w:t xml:space="preserve">)   RECOMENDACIONES ( </w:t>
            </w:r>
            <w:r>
              <w:rPr>
                <w:rFonts w:ascii="Tahoma" w:eastAsia="Times New Roman" w:hAnsi="Tahoma" w:cs="Tahoma"/>
                <w:b/>
                <w:bCs/>
                <w:sz w:val="22"/>
                <w:szCs w:val="22"/>
                <w:lang w:val="es-CO" w:eastAsia="es-CO"/>
              </w:rPr>
              <w:t xml:space="preserve">5 </w:t>
            </w:r>
            <w:r w:rsidRPr="004B76E3">
              <w:rPr>
                <w:rFonts w:ascii="Tahoma" w:eastAsia="Times New Roman" w:hAnsi="Tahoma" w:cs="Tahoma"/>
                <w:b/>
                <w:bCs/>
                <w:sz w:val="22"/>
                <w:szCs w:val="22"/>
                <w:lang w:val="es-CO" w:eastAsia="es-CO"/>
              </w:rPr>
              <w:t>)</w:t>
            </w:r>
          </w:p>
        </w:tc>
      </w:tr>
    </w:tbl>
    <w:p w14:paraId="2FA8A6AE" w14:textId="77777777" w:rsidR="001E4ECA" w:rsidRPr="001E4ECA" w:rsidRDefault="001E4ECA" w:rsidP="00F2595C">
      <w:pPr>
        <w:autoSpaceDE w:val="0"/>
        <w:autoSpaceDN w:val="0"/>
        <w:adjustRightInd w:val="0"/>
        <w:rPr>
          <w:rFonts w:ascii="Tahoma" w:hAnsi="Tahoma" w:cs="Tahoma"/>
          <w:b/>
          <w:bCs/>
          <w:color w:val="000000"/>
          <w:sz w:val="22"/>
          <w:szCs w:val="22"/>
          <w:lang w:val="es-CO" w:eastAsia="es-CO"/>
        </w:rPr>
      </w:pPr>
    </w:p>
    <w:p w14:paraId="01C3A528" w14:textId="77777777" w:rsidR="00885DE7" w:rsidRDefault="00885DE7" w:rsidP="00F2595C">
      <w:pPr>
        <w:autoSpaceDE w:val="0"/>
        <w:autoSpaceDN w:val="0"/>
        <w:adjustRightInd w:val="0"/>
        <w:rPr>
          <w:rFonts w:ascii="Tahoma" w:hAnsi="Tahoma" w:cs="Tahoma"/>
          <w:b/>
          <w:bCs/>
          <w:color w:val="000000"/>
          <w:sz w:val="22"/>
          <w:szCs w:val="22"/>
          <w:lang w:eastAsia="es-CO"/>
        </w:rPr>
      </w:pPr>
    </w:p>
    <w:tbl>
      <w:tblPr>
        <w:tblStyle w:val="Tablaconcuadrcula"/>
        <w:tblW w:w="0" w:type="auto"/>
        <w:shd w:val="clear" w:color="auto" w:fill="D9D9D9" w:themeFill="background1" w:themeFillShade="D9"/>
        <w:tblLook w:val="04A0" w:firstRow="1" w:lastRow="0" w:firstColumn="1" w:lastColumn="0" w:noHBand="0" w:noVBand="1"/>
      </w:tblPr>
      <w:tblGrid>
        <w:gridCol w:w="3936"/>
        <w:gridCol w:w="5118"/>
      </w:tblGrid>
      <w:tr w:rsidR="00885DE7" w14:paraId="02F4FC6C" w14:textId="77777777" w:rsidTr="00095FA2">
        <w:trPr>
          <w:trHeight w:val="362"/>
        </w:trPr>
        <w:tc>
          <w:tcPr>
            <w:tcW w:w="9054" w:type="dxa"/>
            <w:gridSpan w:val="2"/>
            <w:shd w:val="clear" w:color="auto" w:fill="D9D9D9" w:themeFill="background1" w:themeFillShade="D9"/>
            <w:vAlign w:val="center"/>
          </w:tcPr>
          <w:p w14:paraId="251A7486" w14:textId="42EFEA5F" w:rsidR="00885DE7" w:rsidRDefault="00885DE7" w:rsidP="00E921AC">
            <w:pPr>
              <w:jc w:val="center"/>
              <w:rPr>
                <w:rFonts w:ascii="Tahoma" w:hAnsi="Tahoma" w:cs="Tahoma"/>
                <w:b/>
                <w:sz w:val="22"/>
                <w:szCs w:val="22"/>
              </w:rPr>
            </w:pPr>
            <w:r>
              <w:rPr>
                <w:rFonts w:ascii="Tahoma" w:hAnsi="Tahoma" w:cs="Tahoma"/>
                <w:b/>
                <w:sz w:val="22"/>
                <w:szCs w:val="22"/>
              </w:rPr>
              <w:t xml:space="preserve">10. </w:t>
            </w:r>
            <w:r w:rsidR="00E921AC">
              <w:rPr>
                <w:rFonts w:ascii="Tahoma" w:hAnsi="Tahoma" w:cs="Tahoma"/>
                <w:b/>
                <w:sz w:val="22"/>
                <w:szCs w:val="22"/>
              </w:rPr>
              <w:t>PLAN DE MEJORAMIENTO</w:t>
            </w:r>
          </w:p>
        </w:tc>
      </w:tr>
      <w:tr w:rsidR="00E921AC" w14:paraId="6984E87E" w14:textId="77777777" w:rsidTr="00E921AC">
        <w:trPr>
          <w:trHeight w:val="691"/>
        </w:trPr>
        <w:tc>
          <w:tcPr>
            <w:tcW w:w="3936" w:type="dxa"/>
            <w:shd w:val="clear" w:color="auto" w:fill="auto"/>
            <w:vAlign w:val="center"/>
          </w:tcPr>
          <w:p w14:paraId="71232944" w14:textId="08FF2624" w:rsidR="00E921AC" w:rsidRDefault="00E921AC" w:rsidP="00E921AC">
            <w:pPr>
              <w:jc w:val="both"/>
              <w:rPr>
                <w:rFonts w:ascii="Tahoma" w:hAnsi="Tahoma" w:cs="Tahoma"/>
                <w:b/>
                <w:sz w:val="22"/>
                <w:szCs w:val="22"/>
              </w:rPr>
            </w:pPr>
            <w:r>
              <w:rPr>
                <w:rFonts w:ascii="Tahoma" w:hAnsi="Tahoma" w:cs="Tahoma"/>
                <w:b/>
                <w:sz w:val="22"/>
                <w:szCs w:val="22"/>
              </w:rPr>
              <w:t>Fecha de Entrega del Plan de Mejoramiento:</w:t>
            </w:r>
          </w:p>
        </w:tc>
        <w:tc>
          <w:tcPr>
            <w:tcW w:w="5118" w:type="dxa"/>
            <w:shd w:val="clear" w:color="auto" w:fill="auto"/>
            <w:vAlign w:val="center"/>
          </w:tcPr>
          <w:p w14:paraId="11C91059" w14:textId="3F66EE92" w:rsidR="00E921AC" w:rsidRDefault="00E921AC" w:rsidP="00E921AC">
            <w:pPr>
              <w:rPr>
                <w:rFonts w:ascii="Tahoma" w:hAnsi="Tahoma" w:cs="Tahoma"/>
                <w:b/>
                <w:sz w:val="22"/>
                <w:szCs w:val="22"/>
              </w:rPr>
            </w:pPr>
            <w:r>
              <w:rPr>
                <w:rFonts w:ascii="Tahoma" w:hAnsi="Tahoma" w:cs="Tahoma"/>
                <w:b/>
                <w:sz w:val="22"/>
                <w:szCs w:val="22"/>
              </w:rPr>
              <w:t>10 de junio de 2016</w:t>
            </w:r>
          </w:p>
        </w:tc>
      </w:tr>
      <w:tr w:rsidR="00831100" w14:paraId="00493D20" w14:textId="77777777" w:rsidTr="00831100">
        <w:trPr>
          <w:trHeight w:val="362"/>
        </w:trPr>
        <w:tc>
          <w:tcPr>
            <w:tcW w:w="9054" w:type="dxa"/>
            <w:gridSpan w:val="2"/>
            <w:shd w:val="clear" w:color="auto" w:fill="auto"/>
            <w:vAlign w:val="center"/>
          </w:tcPr>
          <w:p w14:paraId="4D69C4E2" w14:textId="530CED7F" w:rsidR="009D7610" w:rsidRDefault="00095FA2" w:rsidP="00095FA2">
            <w:pPr>
              <w:jc w:val="both"/>
              <w:rPr>
                <w:rFonts w:ascii="Tahoma" w:hAnsi="Tahoma" w:cs="Tahoma"/>
                <w:sz w:val="22"/>
                <w:szCs w:val="22"/>
              </w:rPr>
            </w:pPr>
            <w:r>
              <w:rPr>
                <w:rFonts w:ascii="Tahoma" w:hAnsi="Tahoma" w:cs="Tahoma"/>
                <w:sz w:val="22"/>
                <w:szCs w:val="22"/>
              </w:rPr>
              <w:t xml:space="preserve">Mediante oficio UCI 176 del 11 de mayo de 2016, se entregó el Informe Preliminar de la Auditoría Especial No. 004 </w:t>
            </w:r>
            <w:r w:rsidR="009D7610">
              <w:rPr>
                <w:rFonts w:ascii="Tahoma" w:hAnsi="Tahoma" w:cs="Tahoma"/>
                <w:sz w:val="22"/>
                <w:szCs w:val="22"/>
              </w:rPr>
              <w:t xml:space="preserve">-2016 </w:t>
            </w:r>
            <w:r>
              <w:rPr>
                <w:rFonts w:ascii="Tahoma" w:hAnsi="Tahoma" w:cs="Tahoma"/>
                <w:sz w:val="22"/>
                <w:szCs w:val="22"/>
              </w:rPr>
              <w:t>a los responsables de</w:t>
            </w:r>
            <w:r w:rsidR="004A0576">
              <w:rPr>
                <w:rFonts w:ascii="Tahoma" w:hAnsi="Tahoma" w:cs="Tahoma"/>
                <w:sz w:val="22"/>
                <w:szCs w:val="22"/>
              </w:rPr>
              <w:t>l cumplimiento</w:t>
            </w:r>
            <w:r w:rsidR="0094389F">
              <w:rPr>
                <w:rFonts w:ascii="Tahoma" w:hAnsi="Tahoma" w:cs="Tahoma"/>
                <w:sz w:val="22"/>
                <w:szCs w:val="22"/>
              </w:rPr>
              <w:t xml:space="preserve"> de</w:t>
            </w:r>
            <w:r w:rsidR="004A0576">
              <w:rPr>
                <w:rFonts w:ascii="Tahoma" w:hAnsi="Tahoma" w:cs="Tahoma"/>
                <w:sz w:val="22"/>
                <w:szCs w:val="22"/>
              </w:rPr>
              <w:t xml:space="preserve"> las acciones establecidas en e</w:t>
            </w:r>
            <w:r>
              <w:rPr>
                <w:rFonts w:ascii="Tahoma" w:hAnsi="Tahoma" w:cs="Tahoma"/>
                <w:sz w:val="22"/>
                <w:szCs w:val="22"/>
              </w:rPr>
              <w:t>l Plan Anticorrupción y de Atención al Ciudadano y Código de Buen Gobierno 2016</w:t>
            </w:r>
            <w:r w:rsidR="00343123">
              <w:rPr>
                <w:rFonts w:ascii="Tahoma" w:hAnsi="Tahoma" w:cs="Tahoma"/>
                <w:sz w:val="22"/>
                <w:szCs w:val="22"/>
              </w:rPr>
              <w:t xml:space="preserve"> – con corte al 30 de abril de 2016</w:t>
            </w:r>
            <w:r>
              <w:rPr>
                <w:rFonts w:ascii="Tahoma" w:hAnsi="Tahoma" w:cs="Tahoma"/>
                <w:sz w:val="22"/>
                <w:szCs w:val="22"/>
              </w:rPr>
              <w:t>, y luego de t</w:t>
            </w:r>
            <w:r w:rsidR="00831100" w:rsidRPr="00831100">
              <w:rPr>
                <w:rFonts w:ascii="Tahoma" w:hAnsi="Tahoma" w:cs="Tahoma"/>
                <w:sz w:val="22"/>
                <w:szCs w:val="22"/>
              </w:rPr>
              <w:t>r</w:t>
            </w:r>
            <w:r w:rsidR="00831100">
              <w:rPr>
                <w:rFonts w:ascii="Tahoma" w:hAnsi="Tahoma" w:cs="Tahoma"/>
                <w:sz w:val="22"/>
                <w:szCs w:val="22"/>
              </w:rPr>
              <w:t xml:space="preserve">anscurridos los </w:t>
            </w:r>
            <w:r w:rsidR="00602E0A">
              <w:rPr>
                <w:rFonts w:ascii="Tahoma" w:hAnsi="Tahoma" w:cs="Tahoma"/>
                <w:sz w:val="22"/>
                <w:szCs w:val="22"/>
              </w:rPr>
              <w:t>cinco (5) días hábiles siguientes al recibido de</w:t>
            </w:r>
            <w:r>
              <w:rPr>
                <w:rFonts w:ascii="Tahoma" w:hAnsi="Tahoma" w:cs="Tahoma"/>
                <w:sz w:val="22"/>
                <w:szCs w:val="22"/>
              </w:rPr>
              <w:t xml:space="preserve"> dicho </w:t>
            </w:r>
            <w:r w:rsidR="00602E0A">
              <w:rPr>
                <w:rFonts w:ascii="Tahoma" w:hAnsi="Tahoma" w:cs="Tahoma"/>
                <w:sz w:val="22"/>
                <w:szCs w:val="22"/>
              </w:rPr>
              <w:t>Informe</w:t>
            </w:r>
            <w:r w:rsidR="004313DD">
              <w:rPr>
                <w:rFonts w:ascii="Tahoma" w:hAnsi="Tahoma" w:cs="Tahoma"/>
                <w:sz w:val="22"/>
                <w:szCs w:val="22"/>
              </w:rPr>
              <w:t xml:space="preserve"> para ejercer el derecho a la contradicción</w:t>
            </w:r>
            <w:r>
              <w:rPr>
                <w:rFonts w:ascii="Tahoma" w:hAnsi="Tahoma" w:cs="Tahoma"/>
                <w:sz w:val="22"/>
                <w:szCs w:val="22"/>
              </w:rPr>
              <w:t>, no se presentaron objeciones, motivo por el cual</w:t>
            </w:r>
            <w:r w:rsidR="00C14947">
              <w:rPr>
                <w:rFonts w:ascii="Tahoma" w:hAnsi="Tahoma" w:cs="Tahoma"/>
                <w:sz w:val="22"/>
                <w:szCs w:val="22"/>
              </w:rPr>
              <w:t>,</w:t>
            </w:r>
            <w:r>
              <w:rPr>
                <w:rFonts w:ascii="Tahoma" w:hAnsi="Tahoma" w:cs="Tahoma"/>
                <w:sz w:val="22"/>
                <w:szCs w:val="22"/>
              </w:rPr>
              <w:t xml:space="preserve"> se deja en firme este Informe y se deberá adoptar el respectivo Plan de Mejoramiento con acciones medibles que permitan solucionar las deficiencias encontradas</w:t>
            </w:r>
            <w:r w:rsidR="009D7610">
              <w:rPr>
                <w:rFonts w:ascii="Tahoma" w:hAnsi="Tahoma" w:cs="Tahoma"/>
                <w:sz w:val="22"/>
                <w:szCs w:val="22"/>
              </w:rPr>
              <w:t>, para lo cual tendrán hasta el día 10 de junio de</w:t>
            </w:r>
            <w:r w:rsidR="0080351B">
              <w:rPr>
                <w:rFonts w:ascii="Tahoma" w:hAnsi="Tahoma" w:cs="Tahoma"/>
                <w:sz w:val="22"/>
                <w:szCs w:val="22"/>
              </w:rPr>
              <w:t xml:space="preserve"> 2016</w:t>
            </w:r>
            <w:r w:rsidR="009D7610">
              <w:rPr>
                <w:rFonts w:ascii="Tahoma" w:hAnsi="Tahoma" w:cs="Tahoma"/>
                <w:sz w:val="22"/>
                <w:szCs w:val="22"/>
              </w:rPr>
              <w:t>.</w:t>
            </w:r>
          </w:p>
          <w:p w14:paraId="70A5E2D7" w14:textId="77777777" w:rsidR="007D3F52" w:rsidRDefault="007D3F52" w:rsidP="00095FA2">
            <w:pPr>
              <w:jc w:val="both"/>
              <w:rPr>
                <w:rFonts w:ascii="Tahoma" w:hAnsi="Tahoma" w:cs="Tahoma"/>
                <w:sz w:val="22"/>
                <w:szCs w:val="22"/>
              </w:rPr>
            </w:pPr>
          </w:p>
          <w:p w14:paraId="26FC5622" w14:textId="33146B0E" w:rsidR="007D3F52" w:rsidRDefault="007D3F52" w:rsidP="00095FA2">
            <w:pPr>
              <w:jc w:val="both"/>
              <w:rPr>
                <w:rFonts w:ascii="Tahoma" w:hAnsi="Tahoma" w:cs="Tahoma"/>
                <w:sz w:val="22"/>
                <w:szCs w:val="22"/>
              </w:rPr>
            </w:pPr>
            <w:r>
              <w:rPr>
                <w:rFonts w:ascii="Tahoma" w:hAnsi="Tahoma" w:cs="Tahoma"/>
                <w:sz w:val="22"/>
                <w:szCs w:val="22"/>
              </w:rPr>
              <w:t xml:space="preserve">Este Plan de Mejoramiento deberá estar aprobado por el Alcalde, </w:t>
            </w:r>
            <w:r w:rsidR="00322686">
              <w:rPr>
                <w:rFonts w:ascii="Tahoma" w:hAnsi="Tahoma" w:cs="Tahoma"/>
                <w:sz w:val="22"/>
                <w:szCs w:val="22"/>
              </w:rPr>
              <w:t xml:space="preserve">y se deberá </w:t>
            </w:r>
            <w:r w:rsidR="00CC0C9B">
              <w:rPr>
                <w:rFonts w:ascii="Tahoma" w:hAnsi="Tahoma" w:cs="Tahoma"/>
                <w:sz w:val="22"/>
                <w:szCs w:val="22"/>
              </w:rPr>
              <w:t>presentar en</w:t>
            </w:r>
            <w:r w:rsidR="00322686">
              <w:rPr>
                <w:rFonts w:ascii="Tahoma" w:hAnsi="Tahoma" w:cs="Tahoma"/>
                <w:sz w:val="22"/>
                <w:szCs w:val="22"/>
              </w:rPr>
              <w:t xml:space="preserve"> el </w:t>
            </w:r>
            <w:r>
              <w:rPr>
                <w:rFonts w:ascii="Tahoma" w:hAnsi="Tahoma" w:cs="Tahoma"/>
                <w:sz w:val="22"/>
                <w:szCs w:val="22"/>
              </w:rPr>
              <w:t xml:space="preserve"> formato </w:t>
            </w:r>
            <w:r w:rsidR="005405DE" w:rsidRPr="005405DE">
              <w:rPr>
                <w:rFonts w:ascii="Tahoma" w:hAnsi="Tahoma" w:cs="Tahoma"/>
                <w:sz w:val="22"/>
                <w:szCs w:val="22"/>
              </w:rPr>
              <w:t>EMI-MGI-FR-01</w:t>
            </w:r>
            <w:r w:rsidR="005405DE">
              <w:rPr>
                <w:rFonts w:ascii="Tahoma" w:hAnsi="Tahoma" w:cs="Tahoma"/>
                <w:sz w:val="22"/>
                <w:szCs w:val="22"/>
              </w:rPr>
              <w:t xml:space="preserve"> </w:t>
            </w:r>
            <w:r>
              <w:rPr>
                <w:rFonts w:ascii="Tahoma" w:hAnsi="Tahoma" w:cs="Tahoma"/>
                <w:sz w:val="22"/>
                <w:szCs w:val="22"/>
              </w:rPr>
              <w:t>establecido para tal fin</w:t>
            </w:r>
            <w:r w:rsidR="00EE28BC">
              <w:rPr>
                <w:rFonts w:ascii="Tahoma" w:hAnsi="Tahoma" w:cs="Tahoma"/>
                <w:sz w:val="22"/>
                <w:szCs w:val="22"/>
              </w:rPr>
              <w:t xml:space="preserve"> y</w:t>
            </w:r>
            <w:r>
              <w:rPr>
                <w:rFonts w:ascii="Tahoma" w:hAnsi="Tahoma" w:cs="Tahoma"/>
                <w:sz w:val="22"/>
                <w:szCs w:val="22"/>
              </w:rPr>
              <w:t xml:space="preserve"> disponible en el Sistema de Gestión Integral – Software ISOLUCION, para efectos de Control y Seguimiento.</w:t>
            </w:r>
          </w:p>
          <w:p w14:paraId="7CE1DF87" w14:textId="03F2AFA6" w:rsidR="00831100" w:rsidRPr="00831100" w:rsidRDefault="00831100" w:rsidP="00095FA2">
            <w:pPr>
              <w:jc w:val="both"/>
              <w:rPr>
                <w:rFonts w:ascii="Tahoma" w:hAnsi="Tahoma" w:cs="Tahoma"/>
                <w:sz w:val="22"/>
                <w:szCs w:val="22"/>
              </w:rPr>
            </w:pPr>
          </w:p>
        </w:tc>
      </w:tr>
    </w:tbl>
    <w:p w14:paraId="49A397C4" w14:textId="77777777" w:rsidR="00885DE7" w:rsidRDefault="00885DE7" w:rsidP="00F2595C">
      <w:pPr>
        <w:autoSpaceDE w:val="0"/>
        <w:autoSpaceDN w:val="0"/>
        <w:adjustRightInd w:val="0"/>
        <w:rPr>
          <w:rFonts w:ascii="Tahoma" w:hAnsi="Tahoma" w:cs="Tahoma"/>
          <w:b/>
          <w:bCs/>
          <w:color w:val="000000"/>
          <w:sz w:val="22"/>
          <w:szCs w:val="22"/>
          <w:lang w:eastAsia="es-CO"/>
        </w:rPr>
      </w:pPr>
    </w:p>
    <w:p w14:paraId="0E242498" w14:textId="68798D7F" w:rsidR="0057021F" w:rsidRPr="004B76E3" w:rsidRDefault="0057021F" w:rsidP="00942170">
      <w:pPr>
        <w:rPr>
          <w:rFonts w:ascii="Tahoma" w:hAnsi="Tahoma" w:cs="Tahoma"/>
          <w:bCs/>
          <w:sz w:val="22"/>
          <w:szCs w:val="22"/>
          <w:lang w:val="es-CO"/>
        </w:rPr>
      </w:pPr>
      <w:r w:rsidRPr="004B76E3">
        <w:rPr>
          <w:rFonts w:ascii="Tahoma" w:hAnsi="Tahoma" w:cs="Tahoma"/>
          <w:bCs/>
          <w:sz w:val="22"/>
          <w:szCs w:val="22"/>
          <w:lang w:val="es-CO"/>
        </w:rPr>
        <w:t>Atentamente,</w:t>
      </w:r>
      <w:r w:rsidR="00DF75EA">
        <w:rPr>
          <w:rFonts w:ascii="Tahoma" w:hAnsi="Tahoma" w:cs="Tahoma"/>
          <w:bCs/>
          <w:sz w:val="22"/>
          <w:szCs w:val="22"/>
          <w:lang w:val="es-CO"/>
        </w:rPr>
        <w:t xml:space="preserve"> </w:t>
      </w:r>
    </w:p>
    <w:p w14:paraId="130F2520" w14:textId="77777777" w:rsidR="0057021F" w:rsidRDefault="0057021F" w:rsidP="00942170">
      <w:pPr>
        <w:rPr>
          <w:rFonts w:ascii="Tahoma" w:hAnsi="Tahoma" w:cs="Tahoma"/>
          <w:b/>
          <w:bCs/>
          <w:sz w:val="22"/>
          <w:szCs w:val="22"/>
          <w:lang w:val="es-CO"/>
        </w:rPr>
      </w:pPr>
    </w:p>
    <w:p w14:paraId="294AF9AD" w14:textId="50759787" w:rsidR="004067F9" w:rsidRPr="004B76E3" w:rsidRDefault="00730247" w:rsidP="00942170">
      <w:pPr>
        <w:rPr>
          <w:rFonts w:ascii="Tahoma" w:hAnsi="Tahoma" w:cs="Tahoma"/>
          <w:bCs/>
          <w:sz w:val="22"/>
          <w:szCs w:val="22"/>
          <w:lang w:val="es-CO"/>
        </w:rPr>
      </w:pPr>
      <w:r>
        <w:rPr>
          <w:noProof/>
          <w:lang w:val="es-CO" w:eastAsia="es-CO"/>
        </w:rPr>
        <w:drawing>
          <wp:inline distT="0" distB="0" distL="0" distR="0" wp14:anchorId="57FA1BA8" wp14:editId="05443F6A">
            <wp:extent cx="245745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800100"/>
                    </a:xfrm>
                    <a:prstGeom prst="rect">
                      <a:avLst/>
                    </a:prstGeom>
                    <a:noFill/>
                    <a:ln>
                      <a:noFill/>
                    </a:ln>
                  </pic:spPr>
                </pic:pic>
              </a:graphicData>
            </a:graphic>
          </wp:inline>
        </w:drawing>
      </w:r>
    </w:p>
    <w:p w14:paraId="2641807A" w14:textId="77777777" w:rsidR="00730247" w:rsidRDefault="00730247" w:rsidP="00942170">
      <w:pPr>
        <w:rPr>
          <w:rFonts w:ascii="Tahoma" w:hAnsi="Tahoma" w:cs="Tahoma"/>
          <w:bCs/>
          <w:sz w:val="16"/>
          <w:szCs w:val="16"/>
        </w:rPr>
      </w:pPr>
    </w:p>
    <w:p w14:paraId="39EAA049" w14:textId="77777777" w:rsidR="00730247" w:rsidRDefault="00730247" w:rsidP="00942170">
      <w:pPr>
        <w:rPr>
          <w:rFonts w:ascii="Tahoma" w:hAnsi="Tahoma" w:cs="Tahoma"/>
          <w:bCs/>
          <w:sz w:val="16"/>
          <w:szCs w:val="16"/>
        </w:rPr>
      </w:pPr>
    </w:p>
    <w:p w14:paraId="7913F3CC" w14:textId="77777777" w:rsidR="00730247" w:rsidRDefault="00730247" w:rsidP="00942170">
      <w:pPr>
        <w:rPr>
          <w:rFonts w:ascii="Tahoma" w:hAnsi="Tahoma" w:cs="Tahoma"/>
          <w:bCs/>
          <w:sz w:val="16"/>
          <w:szCs w:val="16"/>
        </w:rPr>
      </w:pPr>
    </w:p>
    <w:p w14:paraId="0D7CCCCD" w14:textId="77777777" w:rsidR="00730247" w:rsidRDefault="00730247" w:rsidP="00942170">
      <w:pPr>
        <w:rPr>
          <w:rFonts w:ascii="Tahoma" w:hAnsi="Tahoma" w:cs="Tahoma"/>
          <w:bCs/>
          <w:sz w:val="16"/>
          <w:szCs w:val="16"/>
        </w:rPr>
      </w:pPr>
    </w:p>
    <w:p w14:paraId="3C591F11" w14:textId="2D034E3F" w:rsidR="004067F9" w:rsidRPr="002B15B4" w:rsidRDefault="00FC2860" w:rsidP="00942170">
      <w:pPr>
        <w:rPr>
          <w:rFonts w:ascii="Tahoma" w:hAnsi="Tahoma" w:cs="Tahoma"/>
          <w:bCs/>
          <w:sz w:val="16"/>
          <w:szCs w:val="16"/>
        </w:rPr>
      </w:pPr>
      <w:bookmarkStart w:id="0" w:name="_GoBack"/>
      <w:bookmarkEnd w:id="0"/>
      <w:r w:rsidRPr="002B15B4">
        <w:rPr>
          <w:rFonts w:ascii="Tahoma" w:hAnsi="Tahoma" w:cs="Tahoma"/>
          <w:bCs/>
          <w:sz w:val="16"/>
          <w:szCs w:val="16"/>
        </w:rPr>
        <w:t>FRF</w:t>
      </w:r>
    </w:p>
    <w:sectPr w:rsidR="004067F9" w:rsidRPr="002B15B4" w:rsidSect="00517B45">
      <w:headerReference w:type="default" r:id="rId11"/>
      <w:footerReference w:type="default" r:id="rId12"/>
      <w:pgSz w:w="12240" w:h="15840"/>
      <w:pgMar w:top="2444" w:right="1701" w:bottom="2835"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5FEE" w14:textId="77777777" w:rsidR="0031499B" w:rsidRDefault="0031499B" w:rsidP="00151BDE">
      <w:r>
        <w:separator/>
      </w:r>
    </w:p>
  </w:endnote>
  <w:endnote w:type="continuationSeparator" w:id="0">
    <w:p w14:paraId="3BAA4C35" w14:textId="77777777" w:rsidR="0031499B" w:rsidRDefault="0031499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EDD8" w14:textId="0DA07FC8" w:rsidR="00095FA2" w:rsidRDefault="00095FA2">
    <w:pPr>
      <w:pStyle w:val="Piedepgina"/>
      <w:jc w:val="right"/>
    </w:pPr>
    <w:r>
      <w:rPr>
        <w:noProof/>
        <w:lang w:val="es-CO" w:eastAsia="es-CO"/>
      </w:rPr>
      <w:drawing>
        <wp:anchor distT="0" distB="0" distL="114300" distR="114300" simplePos="0" relativeHeight="251660288" behindDoc="1" locked="0" layoutInCell="1" allowOverlap="1" wp14:anchorId="6152C637" wp14:editId="76C1FA8B">
          <wp:simplePos x="0" y="0"/>
          <wp:positionH relativeFrom="column">
            <wp:posOffset>-1093470</wp:posOffset>
          </wp:positionH>
          <wp:positionV relativeFrom="paragraph">
            <wp:posOffset>-716280</wp:posOffset>
          </wp:positionV>
          <wp:extent cx="7818120" cy="1537525"/>
          <wp:effectExtent l="0" t="0" r="0" b="571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462539700"/>
        <w:docPartObj>
          <w:docPartGallery w:val="Page Numbers (Bottom of Page)"/>
          <w:docPartUnique/>
        </w:docPartObj>
      </w:sdtPr>
      <w:sdtEndPr/>
      <w:sdtContent>
        <w:sdt>
          <w:sdtPr>
            <w:id w:val="860082579"/>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730247">
              <w:rPr>
                <w:b/>
                <w:bCs/>
                <w:noProof/>
              </w:rPr>
              <w:t>15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30247">
              <w:rPr>
                <w:b/>
                <w:bCs/>
                <w:noProof/>
              </w:rPr>
              <w:t>15</w:t>
            </w:r>
            <w:r>
              <w:rPr>
                <w:b/>
                <w:bCs/>
              </w:rPr>
              <w:fldChar w:fldCharType="end"/>
            </w:r>
          </w:sdtContent>
        </w:sdt>
      </w:sdtContent>
    </w:sdt>
  </w:p>
  <w:p w14:paraId="5B6C767E" w14:textId="48C0040C" w:rsidR="00095FA2" w:rsidRDefault="00095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E2CF" w14:textId="77777777" w:rsidR="0031499B" w:rsidRDefault="0031499B" w:rsidP="00151BDE">
      <w:r>
        <w:separator/>
      </w:r>
    </w:p>
  </w:footnote>
  <w:footnote w:type="continuationSeparator" w:id="0">
    <w:p w14:paraId="23298D59" w14:textId="77777777" w:rsidR="0031499B" w:rsidRDefault="0031499B"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706BF28" w:rsidR="00095FA2" w:rsidRDefault="00095FA2">
    <w:pPr>
      <w:pStyle w:val="Encabezado"/>
    </w:pPr>
    <w:r>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095FA2" w:rsidRDefault="00095FA2">
    <w:pPr>
      <w:pStyle w:val="Encabezado"/>
    </w:pPr>
  </w:p>
  <w:p w14:paraId="3FFC897F" w14:textId="77777777" w:rsidR="00095FA2" w:rsidRDefault="00095FA2">
    <w:pPr>
      <w:pStyle w:val="Encabezado"/>
    </w:pPr>
  </w:p>
  <w:p w14:paraId="5633B463" w14:textId="77777777" w:rsidR="00095FA2" w:rsidRDefault="00095FA2">
    <w:pPr>
      <w:pStyle w:val="Encabezado"/>
    </w:pPr>
  </w:p>
  <w:p w14:paraId="189C1F58" w14:textId="77777777" w:rsidR="00095FA2" w:rsidRDefault="00095FA2">
    <w:pPr>
      <w:pStyle w:val="Encabezado"/>
    </w:pPr>
  </w:p>
  <w:p w14:paraId="386B4398" w14:textId="77777777" w:rsidR="00095FA2" w:rsidRDefault="00095FA2">
    <w:pPr>
      <w:pStyle w:val="Encabezado"/>
    </w:pPr>
  </w:p>
  <w:p w14:paraId="18DFE0EF" w14:textId="77777777" w:rsidR="00095FA2" w:rsidRDefault="00095FA2" w:rsidP="00E77C96">
    <w:pPr>
      <w:pStyle w:val="Encabezado"/>
      <w:jc w:val="center"/>
      <w:rPr>
        <w:rFonts w:asciiTheme="majorHAnsi" w:hAnsiTheme="majorHAnsi"/>
        <w:b/>
      </w:rPr>
    </w:pPr>
  </w:p>
  <w:p w14:paraId="070ED958" w14:textId="65EBAF9B" w:rsidR="00095FA2" w:rsidRDefault="00095FA2" w:rsidP="00E77C96">
    <w:pPr>
      <w:pStyle w:val="Encabezado"/>
      <w:jc w:val="center"/>
      <w:rPr>
        <w:rFonts w:asciiTheme="majorHAnsi" w:hAnsiTheme="majorHAnsi"/>
        <w:b/>
      </w:rPr>
    </w:pPr>
    <w:r>
      <w:rPr>
        <w:rFonts w:asciiTheme="majorHAnsi" w:hAnsiTheme="majorHAnsi"/>
        <w:b/>
      </w:rPr>
      <w:t>INFORME FINAL AUDITORIA ESPECIAL</w:t>
    </w:r>
    <w:r w:rsidRPr="00E77C96">
      <w:rPr>
        <w:rFonts w:asciiTheme="majorHAnsi" w:hAnsiTheme="majorHAnsi"/>
        <w:b/>
      </w:rPr>
      <w:t xml:space="preserve"> N°</w:t>
    </w:r>
    <w:r>
      <w:rPr>
        <w:rFonts w:asciiTheme="majorHAnsi" w:hAnsiTheme="majorHAnsi"/>
        <w:b/>
      </w:rPr>
      <w:t xml:space="preserve"> </w:t>
    </w:r>
    <w:r w:rsidRPr="00E77C96">
      <w:rPr>
        <w:rFonts w:asciiTheme="majorHAnsi" w:hAnsiTheme="majorHAnsi"/>
        <w:b/>
      </w:rPr>
      <w:t>0</w:t>
    </w:r>
    <w:r>
      <w:rPr>
        <w:rFonts w:asciiTheme="majorHAnsi" w:hAnsiTheme="majorHAnsi"/>
        <w:b/>
      </w:rPr>
      <w:t xml:space="preserve">4 </w:t>
    </w:r>
    <w:r w:rsidRPr="00E77C96">
      <w:rPr>
        <w:rFonts w:asciiTheme="majorHAnsi" w:hAnsiTheme="majorHAnsi"/>
        <w:b/>
      </w:rPr>
      <w:t>-</w:t>
    </w:r>
    <w:r>
      <w:rPr>
        <w:rFonts w:asciiTheme="majorHAnsi" w:hAnsiTheme="majorHAnsi"/>
        <w:b/>
      </w:rPr>
      <w:t xml:space="preserve"> </w:t>
    </w:r>
    <w:r w:rsidRPr="00E77C96">
      <w:rPr>
        <w:rFonts w:asciiTheme="majorHAnsi" w:hAnsiTheme="majorHAnsi"/>
        <w:b/>
      </w:rPr>
      <w:t>2016</w:t>
    </w:r>
    <w:r>
      <w:rPr>
        <w:rFonts w:asciiTheme="majorHAnsi" w:hAnsiTheme="majorHAnsi"/>
        <w:b/>
      </w:rPr>
      <w:t xml:space="preserve"> </w:t>
    </w:r>
  </w:p>
  <w:p w14:paraId="44E280A9" w14:textId="4CB9015A" w:rsidR="00095FA2" w:rsidRPr="00675FB0" w:rsidRDefault="00095FA2" w:rsidP="00675FB0">
    <w:pPr>
      <w:pStyle w:val="Encabezado"/>
      <w:jc w:val="center"/>
      <w:rPr>
        <w:rFonts w:asciiTheme="majorHAnsi" w:hAnsiTheme="majorHAnsi"/>
        <w:b/>
      </w:rPr>
    </w:pPr>
    <w:r>
      <w:rPr>
        <w:rFonts w:asciiTheme="majorHAnsi" w:hAnsiTheme="majorHAnsi"/>
        <w:b/>
      </w:rPr>
      <w:t xml:space="preserve">PLAN ANTICORRUPCIÓN </w:t>
    </w:r>
    <w:r w:rsidRPr="00675FB0">
      <w:rPr>
        <w:rFonts w:asciiTheme="majorHAnsi" w:hAnsiTheme="majorHAnsi"/>
        <w:b/>
      </w:rPr>
      <w:t>Y DE ATENCIÓN AL CIUDADANO</w:t>
    </w:r>
  </w:p>
  <w:p w14:paraId="04890004" w14:textId="68C13BCA" w:rsidR="00095FA2" w:rsidRDefault="00095FA2" w:rsidP="00675FB0">
    <w:pPr>
      <w:pStyle w:val="Encabezado"/>
      <w:jc w:val="center"/>
      <w:rPr>
        <w:rFonts w:asciiTheme="majorHAnsi" w:hAnsiTheme="majorHAnsi"/>
        <w:b/>
      </w:rPr>
    </w:pPr>
    <w:r w:rsidRPr="00675FB0">
      <w:rPr>
        <w:rFonts w:asciiTheme="majorHAnsi" w:hAnsiTheme="majorHAnsi"/>
        <w:b/>
      </w:rPr>
      <w:t>Y CÓDIGO DE BUEN GOBIERNO</w:t>
    </w:r>
    <w:r>
      <w:rPr>
        <w:rFonts w:asciiTheme="majorHAnsi" w:hAnsiTheme="majorHAnsi"/>
        <w:b/>
      </w:rPr>
      <w:t xml:space="preserve"> – con corte a abril 30 de 2016</w:t>
    </w:r>
  </w:p>
  <w:p w14:paraId="3578580B" w14:textId="5F419652" w:rsidR="00095FA2" w:rsidRDefault="00095FA2" w:rsidP="00577EED">
    <w:pPr>
      <w:pStyle w:val="Encabezado"/>
      <w:jc w:val="center"/>
      <w:rPr>
        <w:rFonts w:asciiTheme="majorHAnsi" w:hAnsiTheme="majorHAnsi"/>
        <w:b/>
      </w:rPr>
    </w:pPr>
    <w:r>
      <w:rPr>
        <w:rFonts w:asciiTheme="majorHAnsi" w:hAnsiTheme="majorHAnsi"/>
        <w:b/>
      </w:rPr>
      <w:t>ALCALDIA DE MANIZALES</w:t>
    </w:r>
  </w:p>
  <w:p w14:paraId="1C50EC24" w14:textId="77777777" w:rsidR="00095FA2" w:rsidRDefault="00095FA2" w:rsidP="00577EED">
    <w:pPr>
      <w:pStyle w:val="Encabezado"/>
      <w:jc w:val="center"/>
      <w:rPr>
        <w:rFonts w:asciiTheme="majorHAnsi" w:hAnsiTheme="majorHAnsi"/>
        <w:b/>
      </w:rPr>
    </w:pPr>
  </w:p>
  <w:p w14:paraId="74505B7A" w14:textId="48BA7DC9" w:rsidR="00095FA2" w:rsidRDefault="00095FA2" w:rsidP="00577EED">
    <w:pPr>
      <w:pStyle w:val="Encabezado"/>
      <w:jc w:val="center"/>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095FA2" w:rsidRDefault="00095FA2">
    <w:pPr>
      <w:pStyle w:val="Encabezado"/>
    </w:pPr>
  </w:p>
  <w:p w14:paraId="242CD02C" w14:textId="77777777" w:rsidR="00095FA2" w:rsidRDefault="00095FA2">
    <w:pPr>
      <w:pStyle w:val="Encabezado"/>
    </w:pPr>
  </w:p>
  <w:p w14:paraId="051A3210" w14:textId="77777777" w:rsidR="00095FA2" w:rsidRDefault="00095FA2" w:rsidP="00F822DA">
    <w:pPr>
      <w:pStyle w:val="Encabezado"/>
      <w:jc w:val="center"/>
      <w:rPr>
        <w:rFonts w:ascii="Century Gothic" w:hAnsi="Century Gothic"/>
        <w:b/>
      </w:rPr>
    </w:pPr>
  </w:p>
  <w:p w14:paraId="242285B4" w14:textId="751297D1" w:rsidR="00095FA2" w:rsidRPr="00F822DA" w:rsidRDefault="00095FA2"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660C79"/>
    <w:multiLevelType w:val="hybridMultilevel"/>
    <w:tmpl w:val="7CFA1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4"/>
  </w:num>
  <w:num w:numId="5">
    <w:abstractNumId w:val="9"/>
  </w:num>
  <w:num w:numId="6">
    <w:abstractNumId w:val="1"/>
  </w:num>
  <w:num w:numId="7">
    <w:abstractNumId w:val="10"/>
  </w:num>
  <w:num w:numId="8">
    <w:abstractNumId w:val="6"/>
  </w:num>
  <w:num w:numId="9">
    <w:abstractNumId w:val="14"/>
  </w:num>
  <w:num w:numId="10">
    <w:abstractNumId w:val="12"/>
  </w:num>
  <w:num w:numId="11">
    <w:abstractNumId w:val="0"/>
  </w:num>
  <w:num w:numId="12">
    <w:abstractNumId w:val="2"/>
  </w:num>
  <w:num w:numId="13">
    <w:abstractNumId w:val="5"/>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2341"/>
    <w:rsid w:val="00007D78"/>
    <w:rsid w:val="00010F72"/>
    <w:rsid w:val="00011F4E"/>
    <w:rsid w:val="000120C6"/>
    <w:rsid w:val="000129E4"/>
    <w:rsid w:val="00012D9C"/>
    <w:rsid w:val="00013794"/>
    <w:rsid w:val="000145B8"/>
    <w:rsid w:val="00014D19"/>
    <w:rsid w:val="00015E08"/>
    <w:rsid w:val="00020BE4"/>
    <w:rsid w:val="0002342A"/>
    <w:rsid w:val="000310DC"/>
    <w:rsid w:val="00031C98"/>
    <w:rsid w:val="00034D20"/>
    <w:rsid w:val="0003525D"/>
    <w:rsid w:val="00035B19"/>
    <w:rsid w:val="00035D5C"/>
    <w:rsid w:val="00035FFB"/>
    <w:rsid w:val="00036AEE"/>
    <w:rsid w:val="00047728"/>
    <w:rsid w:val="0005074E"/>
    <w:rsid w:val="00053391"/>
    <w:rsid w:val="0005377E"/>
    <w:rsid w:val="00062C5D"/>
    <w:rsid w:val="00064B4D"/>
    <w:rsid w:val="00065215"/>
    <w:rsid w:val="00065860"/>
    <w:rsid w:val="00065C6A"/>
    <w:rsid w:val="00067EFA"/>
    <w:rsid w:val="00070434"/>
    <w:rsid w:val="000724BF"/>
    <w:rsid w:val="000748BF"/>
    <w:rsid w:val="00074ADF"/>
    <w:rsid w:val="00075CAD"/>
    <w:rsid w:val="000763F2"/>
    <w:rsid w:val="0007695D"/>
    <w:rsid w:val="00077044"/>
    <w:rsid w:val="00080947"/>
    <w:rsid w:val="00080CC7"/>
    <w:rsid w:val="00082739"/>
    <w:rsid w:val="0008310C"/>
    <w:rsid w:val="0008322D"/>
    <w:rsid w:val="000873B6"/>
    <w:rsid w:val="000874A0"/>
    <w:rsid w:val="00092B8A"/>
    <w:rsid w:val="0009347E"/>
    <w:rsid w:val="00093EB2"/>
    <w:rsid w:val="00094B0E"/>
    <w:rsid w:val="00095C3D"/>
    <w:rsid w:val="00095F7B"/>
    <w:rsid w:val="00095FA2"/>
    <w:rsid w:val="00097E43"/>
    <w:rsid w:val="000A11C4"/>
    <w:rsid w:val="000A2ABC"/>
    <w:rsid w:val="000A6325"/>
    <w:rsid w:val="000B2B67"/>
    <w:rsid w:val="000B32B8"/>
    <w:rsid w:val="000B7B24"/>
    <w:rsid w:val="000C1E5E"/>
    <w:rsid w:val="000C2B51"/>
    <w:rsid w:val="000C6867"/>
    <w:rsid w:val="000C7E65"/>
    <w:rsid w:val="000D03EE"/>
    <w:rsid w:val="000D058B"/>
    <w:rsid w:val="000D205E"/>
    <w:rsid w:val="000D2EB6"/>
    <w:rsid w:val="000D344F"/>
    <w:rsid w:val="000D345A"/>
    <w:rsid w:val="000D3D3A"/>
    <w:rsid w:val="000D4026"/>
    <w:rsid w:val="000D4291"/>
    <w:rsid w:val="000D4487"/>
    <w:rsid w:val="000D4938"/>
    <w:rsid w:val="000D5BCD"/>
    <w:rsid w:val="000D7B00"/>
    <w:rsid w:val="000E0DA1"/>
    <w:rsid w:val="000E4BAB"/>
    <w:rsid w:val="000E5EF5"/>
    <w:rsid w:val="000F06EA"/>
    <w:rsid w:val="000F36D7"/>
    <w:rsid w:val="000F75CD"/>
    <w:rsid w:val="000F7A18"/>
    <w:rsid w:val="00100BE0"/>
    <w:rsid w:val="001026F4"/>
    <w:rsid w:val="00103CFA"/>
    <w:rsid w:val="001046D2"/>
    <w:rsid w:val="00107923"/>
    <w:rsid w:val="00112E8C"/>
    <w:rsid w:val="001172E8"/>
    <w:rsid w:val="001177A3"/>
    <w:rsid w:val="001200B9"/>
    <w:rsid w:val="00120B8B"/>
    <w:rsid w:val="00120C32"/>
    <w:rsid w:val="00120FCA"/>
    <w:rsid w:val="0012241A"/>
    <w:rsid w:val="00122FAA"/>
    <w:rsid w:val="00123D90"/>
    <w:rsid w:val="00126BEF"/>
    <w:rsid w:val="00130425"/>
    <w:rsid w:val="001322DC"/>
    <w:rsid w:val="00140123"/>
    <w:rsid w:val="0014394D"/>
    <w:rsid w:val="0014433F"/>
    <w:rsid w:val="00151BDE"/>
    <w:rsid w:val="00152F6B"/>
    <w:rsid w:val="001545D5"/>
    <w:rsid w:val="00155C89"/>
    <w:rsid w:val="00155E1D"/>
    <w:rsid w:val="00160C80"/>
    <w:rsid w:val="00160CD2"/>
    <w:rsid w:val="00161B4B"/>
    <w:rsid w:val="0016471E"/>
    <w:rsid w:val="00166247"/>
    <w:rsid w:val="00166CFD"/>
    <w:rsid w:val="00167334"/>
    <w:rsid w:val="00167A9D"/>
    <w:rsid w:val="00171D42"/>
    <w:rsid w:val="0017367B"/>
    <w:rsid w:val="001764D1"/>
    <w:rsid w:val="001778DA"/>
    <w:rsid w:val="00177FB5"/>
    <w:rsid w:val="0018093B"/>
    <w:rsid w:val="001817D1"/>
    <w:rsid w:val="001823CA"/>
    <w:rsid w:val="00182990"/>
    <w:rsid w:val="00183795"/>
    <w:rsid w:val="001872EF"/>
    <w:rsid w:val="0018757A"/>
    <w:rsid w:val="001968EF"/>
    <w:rsid w:val="00196F00"/>
    <w:rsid w:val="001A07A2"/>
    <w:rsid w:val="001A352E"/>
    <w:rsid w:val="001A3C3D"/>
    <w:rsid w:val="001A43BA"/>
    <w:rsid w:val="001A4868"/>
    <w:rsid w:val="001A56A2"/>
    <w:rsid w:val="001A5AB8"/>
    <w:rsid w:val="001A7F94"/>
    <w:rsid w:val="001B0FCE"/>
    <w:rsid w:val="001B1298"/>
    <w:rsid w:val="001B3F04"/>
    <w:rsid w:val="001B440C"/>
    <w:rsid w:val="001B48A5"/>
    <w:rsid w:val="001B7840"/>
    <w:rsid w:val="001C2C60"/>
    <w:rsid w:val="001C369A"/>
    <w:rsid w:val="001C3AA1"/>
    <w:rsid w:val="001C4694"/>
    <w:rsid w:val="001C46FC"/>
    <w:rsid w:val="001C4DC7"/>
    <w:rsid w:val="001C68C2"/>
    <w:rsid w:val="001C69F4"/>
    <w:rsid w:val="001C7792"/>
    <w:rsid w:val="001C7B7E"/>
    <w:rsid w:val="001D0718"/>
    <w:rsid w:val="001D18F4"/>
    <w:rsid w:val="001D25E9"/>
    <w:rsid w:val="001D39F8"/>
    <w:rsid w:val="001D4294"/>
    <w:rsid w:val="001D4E81"/>
    <w:rsid w:val="001D5648"/>
    <w:rsid w:val="001D58D6"/>
    <w:rsid w:val="001D71C7"/>
    <w:rsid w:val="001E0C5E"/>
    <w:rsid w:val="001E1AD7"/>
    <w:rsid w:val="001E283F"/>
    <w:rsid w:val="001E36FC"/>
    <w:rsid w:val="001E4067"/>
    <w:rsid w:val="001E4ECA"/>
    <w:rsid w:val="001E6FEE"/>
    <w:rsid w:val="001E781F"/>
    <w:rsid w:val="001F0B24"/>
    <w:rsid w:val="001F19DF"/>
    <w:rsid w:val="001F2110"/>
    <w:rsid w:val="001F2276"/>
    <w:rsid w:val="001F2DCC"/>
    <w:rsid w:val="001F3BD8"/>
    <w:rsid w:val="001F5E21"/>
    <w:rsid w:val="001F6110"/>
    <w:rsid w:val="00200C99"/>
    <w:rsid w:val="00201C33"/>
    <w:rsid w:val="00204376"/>
    <w:rsid w:val="00204620"/>
    <w:rsid w:val="0020516E"/>
    <w:rsid w:val="002079C7"/>
    <w:rsid w:val="0021050D"/>
    <w:rsid w:val="00214CEA"/>
    <w:rsid w:val="002172E9"/>
    <w:rsid w:val="00217854"/>
    <w:rsid w:val="00217918"/>
    <w:rsid w:val="002179ED"/>
    <w:rsid w:val="00222BC3"/>
    <w:rsid w:val="00223483"/>
    <w:rsid w:val="0022392F"/>
    <w:rsid w:val="002253C2"/>
    <w:rsid w:val="00230971"/>
    <w:rsid w:val="00232991"/>
    <w:rsid w:val="00236C91"/>
    <w:rsid w:val="00237DBC"/>
    <w:rsid w:val="00245F68"/>
    <w:rsid w:val="00250430"/>
    <w:rsid w:val="0025210F"/>
    <w:rsid w:val="00252F5A"/>
    <w:rsid w:val="00253647"/>
    <w:rsid w:val="00255B79"/>
    <w:rsid w:val="00263CA9"/>
    <w:rsid w:val="002655CE"/>
    <w:rsid w:val="00265911"/>
    <w:rsid w:val="0026607D"/>
    <w:rsid w:val="00267712"/>
    <w:rsid w:val="00270E21"/>
    <w:rsid w:val="0027391E"/>
    <w:rsid w:val="00274BC1"/>
    <w:rsid w:val="00280202"/>
    <w:rsid w:val="00280B22"/>
    <w:rsid w:val="00280B91"/>
    <w:rsid w:val="0028153C"/>
    <w:rsid w:val="00283C64"/>
    <w:rsid w:val="00285979"/>
    <w:rsid w:val="00285A79"/>
    <w:rsid w:val="00285D5C"/>
    <w:rsid w:val="00290A8B"/>
    <w:rsid w:val="00291DCF"/>
    <w:rsid w:val="002920C9"/>
    <w:rsid w:val="00292872"/>
    <w:rsid w:val="0029421D"/>
    <w:rsid w:val="002943F0"/>
    <w:rsid w:val="00294C25"/>
    <w:rsid w:val="002971BD"/>
    <w:rsid w:val="002A0D5C"/>
    <w:rsid w:val="002A5B36"/>
    <w:rsid w:val="002A5C8C"/>
    <w:rsid w:val="002A5E52"/>
    <w:rsid w:val="002B042C"/>
    <w:rsid w:val="002B0978"/>
    <w:rsid w:val="002B15B4"/>
    <w:rsid w:val="002B197D"/>
    <w:rsid w:val="002B2492"/>
    <w:rsid w:val="002B699A"/>
    <w:rsid w:val="002B69C3"/>
    <w:rsid w:val="002B6AFD"/>
    <w:rsid w:val="002C105B"/>
    <w:rsid w:val="002C3ACD"/>
    <w:rsid w:val="002C5267"/>
    <w:rsid w:val="002C729C"/>
    <w:rsid w:val="002D0BD5"/>
    <w:rsid w:val="002D25BB"/>
    <w:rsid w:val="002D2EA9"/>
    <w:rsid w:val="002D6EC6"/>
    <w:rsid w:val="002E094F"/>
    <w:rsid w:val="002E18C7"/>
    <w:rsid w:val="002E2F93"/>
    <w:rsid w:val="002E42DF"/>
    <w:rsid w:val="002E4793"/>
    <w:rsid w:val="002E4D16"/>
    <w:rsid w:val="002E5DF0"/>
    <w:rsid w:val="002E72BE"/>
    <w:rsid w:val="002E7EE9"/>
    <w:rsid w:val="002E7F84"/>
    <w:rsid w:val="002F0415"/>
    <w:rsid w:val="002F36AD"/>
    <w:rsid w:val="002F4B72"/>
    <w:rsid w:val="002F50F6"/>
    <w:rsid w:val="002F516B"/>
    <w:rsid w:val="002F78E0"/>
    <w:rsid w:val="002F7B57"/>
    <w:rsid w:val="00303640"/>
    <w:rsid w:val="00307E33"/>
    <w:rsid w:val="00311BFF"/>
    <w:rsid w:val="0031499B"/>
    <w:rsid w:val="0032161D"/>
    <w:rsid w:val="00322686"/>
    <w:rsid w:val="00323D2E"/>
    <w:rsid w:val="00324BDB"/>
    <w:rsid w:val="00325575"/>
    <w:rsid w:val="00327508"/>
    <w:rsid w:val="00327BC3"/>
    <w:rsid w:val="003305F1"/>
    <w:rsid w:val="00342EDC"/>
    <w:rsid w:val="00343123"/>
    <w:rsid w:val="0034388C"/>
    <w:rsid w:val="00345470"/>
    <w:rsid w:val="0034795A"/>
    <w:rsid w:val="0035014D"/>
    <w:rsid w:val="00350C69"/>
    <w:rsid w:val="00351120"/>
    <w:rsid w:val="00351147"/>
    <w:rsid w:val="0035348B"/>
    <w:rsid w:val="003538DF"/>
    <w:rsid w:val="003550F7"/>
    <w:rsid w:val="003555FA"/>
    <w:rsid w:val="00355ADD"/>
    <w:rsid w:val="00356604"/>
    <w:rsid w:val="0036346A"/>
    <w:rsid w:val="00366647"/>
    <w:rsid w:val="00366AFA"/>
    <w:rsid w:val="003705F9"/>
    <w:rsid w:val="0037123E"/>
    <w:rsid w:val="00372A5D"/>
    <w:rsid w:val="00374ABA"/>
    <w:rsid w:val="003803E0"/>
    <w:rsid w:val="00382B1A"/>
    <w:rsid w:val="003841D2"/>
    <w:rsid w:val="003912F7"/>
    <w:rsid w:val="003914B4"/>
    <w:rsid w:val="0039197A"/>
    <w:rsid w:val="0039333D"/>
    <w:rsid w:val="00393887"/>
    <w:rsid w:val="00393C3B"/>
    <w:rsid w:val="00393E7B"/>
    <w:rsid w:val="00394E56"/>
    <w:rsid w:val="003A4BAB"/>
    <w:rsid w:val="003A53EC"/>
    <w:rsid w:val="003A5C86"/>
    <w:rsid w:val="003A5E91"/>
    <w:rsid w:val="003B06F7"/>
    <w:rsid w:val="003B4298"/>
    <w:rsid w:val="003B7E88"/>
    <w:rsid w:val="003C1825"/>
    <w:rsid w:val="003C7C39"/>
    <w:rsid w:val="003D0213"/>
    <w:rsid w:val="003D2336"/>
    <w:rsid w:val="003D3648"/>
    <w:rsid w:val="003D3941"/>
    <w:rsid w:val="003E358E"/>
    <w:rsid w:val="003E4440"/>
    <w:rsid w:val="003E7AAF"/>
    <w:rsid w:val="003F0EFF"/>
    <w:rsid w:val="003F0F4B"/>
    <w:rsid w:val="003F249F"/>
    <w:rsid w:val="003F5490"/>
    <w:rsid w:val="003F70B3"/>
    <w:rsid w:val="00400243"/>
    <w:rsid w:val="0040070B"/>
    <w:rsid w:val="0040144C"/>
    <w:rsid w:val="00401A1D"/>
    <w:rsid w:val="00403F7C"/>
    <w:rsid w:val="00405769"/>
    <w:rsid w:val="004067F9"/>
    <w:rsid w:val="00407D20"/>
    <w:rsid w:val="00411E90"/>
    <w:rsid w:val="00412FE1"/>
    <w:rsid w:val="004139D8"/>
    <w:rsid w:val="00420830"/>
    <w:rsid w:val="0042401F"/>
    <w:rsid w:val="00424693"/>
    <w:rsid w:val="00425450"/>
    <w:rsid w:val="004264D0"/>
    <w:rsid w:val="004268DB"/>
    <w:rsid w:val="004274DC"/>
    <w:rsid w:val="004304B9"/>
    <w:rsid w:val="004313DD"/>
    <w:rsid w:val="00431714"/>
    <w:rsid w:val="00436021"/>
    <w:rsid w:val="00437A8C"/>
    <w:rsid w:val="00440024"/>
    <w:rsid w:val="00442CF6"/>
    <w:rsid w:val="00443372"/>
    <w:rsid w:val="00443373"/>
    <w:rsid w:val="004463E5"/>
    <w:rsid w:val="0044704C"/>
    <w:rsid w:val="00452215"/>
    <w:rsid w:val="00455163"/>
    <w:rsid w:val="00455E57"/>
    <w:rsid w:val="00456634"/>
    <w:rsid w:val="0046136B"/>
    <w:rsid w:val="00462B25"/>
    <w:rsid w:val="0046395B"/>
    <w:rsid w:val="0046441E"/>
    <w:rsid w:val="00465478"/>
    <w:rsid w:val="00465ADB"/>
    <w:rsid w:val="00470FF1"/>
    <w:rsid w:val="0047167B"/>
    <w:rsid w:val="00471E6D"/>
    <w:rsid w:val="0047311F"/>
    <w:rsid w:val="004744A2"/>
    <w:rsid w:val="00475959"/>
    <w:rsid w:val="00477EDA"/>
    <w:rsid w:val="00477F91"/>
    <w:rsid w:val="00480540"/>
    <w:rsid w:val="00480657"/>
    <w:rsid w:val="0048183A"/>
    <w:rsid w:val="00485B74"/>
    <w:rsid w:val="00485D41"/>
    <w:rsid w:val="00492254"/>
    <w:rsid w:val="004925CD"/>
    <w:rsid w:val="00492E49"/>
    <w:rsid w:val="00492E7B"/>
    <w:rsid w:val="0049378A"/>
    <w:rsid w:val="00497396"/>
    <w:rsid w:val="004A0576"/>
    <w:rsid w:val="004A25D8"/>
    <w:rsid w:val="004A3AA8"/>
    <w:rsid w:val="004A4354"/>
    <w:rsid w:val="004A47DA"/>
    <w:rsid w:val="004A5049"/>
    <w:rsid w:val="004B432F"/>
    <w:rsid w:val="004B43E5"/>
    <w:rsid w:val="004B76E3"/>
    <w:rsid w:val="004C09C2"/>
    <w:rsid w:val="004C4200"/>
    <w:rsid w:val="004C572C"/>
    <w:rsid w:val="004C671B"/>
    <w:rsid w:val="004D10C8"/>
    <w:rsid w:val="004D1C7D"/>
    <w:rsid w:val="004D1F74"/>
    <w:rsid w:val="004D3468"/>
    <w:rsid w:val="004D48EA"/>
    <w:rsid w:val="004D76BB"/>
    <w:rsid w:val="004E085C"/>
    <w:rsid w:val="004E1209"/>
    <w:rsid w:val="004E1BA7"/>
    <w:rsid w:val="004E45D1"/>
    <w:rsid w:val="004E5293"/>
    <w:rsid w:val="004E758C"/>
    <w:rsid w:val="004E76C8"/>
    <w:rsid w:val="004E77A4"/>
    <w:rsid w:val="004F050B"/>
    <w:rsid w:val="004F0AFF"/>
    <w:rsid w:val="004F2A43"/>
    <w:rsid w:val="004F3660"/>
    <w:rsid w:val="004F3D63"/>
    <w:rsid w:val="004F5C5F"/>
    <w:rsid w:val="004F71BD"/>
    <w:rsid w:val="004F77C8"/>
    <w:rsid w:val="004F7B75"/>
    <w:rsid w:val="00500265"/>
    <w:rsid w:val="005014C9"/>
    <w:rsid w:val="0050305B"/>
    <w:rsid w:val="00505974"/>
    <w:rsid w:val="00505A93"/>
    <w:rsid w:val="0051238D"/>
    <w:rsid w:val="00517B45"/>
    <w:rsid w:val="005216E7"/>
    <w:rsid w:val="005232C2"/>
    <w:rsid w:val="00523C7D"/>
    <w:rsid w:val="0052412B"/>
    <w:rsid w:val="00525692"/>
    <w:rsid w:val="00527E2C"/>
    <w:rsid w:val="00527E4F"/>
    <w:rsid w:val="00533877"/>
    <w:rsid w:val="00534A56"/>
    <w:rsid w:val="005369E7"/>
    <w:rsid w:val="00536E92"/>
    <w:rsid w:val="005405DE"/>
    <w:rsid w:val="005416D2"/>
    <w:rsid w:val="005449AF"/>
    <w:rsid w:val="0054539E"/>
    <w:rsid w:val="00545582"/>
    <w:rsid w:val="005457EA"/>
    <w:rsid w:val="00545C40"/>
    <w:rsid w:val="00546EE5"/>
    <w:rsid w:val="00547F9F"/>
    <w:rsid w:val="0055123B"/>
    <w:rsid w:val="00552595"/>
    <w:rsid w:val="00553635"/>
    <w:rsid w:val="00554674"/>
    <w:rsid w:val="00557F25"/>
    <w:rsid w:val="005603EC"/>
    <w:rsid w:val="005609ED"/>
    <w:rsid w:val="00560AA7"/>
    <w:rsid w:val="00561050"/>
    <w:rsid w:val="005620B9"/>
    <w:rsid w:val="005624E7"/>
    <w:rsid w:val="00565F60"/>
    <w:rsid w:val="00567DD2"/>
    <w:rsid w:val="00570068"/>
    <w:rsid w:val="0057021F"/>
    <w:rsid w:val="0057128F"/>
    <w:rsid w:val="0057230A"/>
    <w:rsid w:val="005751F8"/>
    <w:rsid w:val="00576627"/>
    <w:rsid w:val="00576C25"/>
    <w:rsid w:val="005770BB"/>
    <w:rsid w:val="005771D7"/>
    <w:rsid w:val="00577EED"/>
    <w:rsid w:val="005816D6"/>
    <w:rsid w:val="00582017"/>
    <w:rsid w:val="0059388D"/>
    <w:rsid w:val="0059513F"/>
    <w:rsid w:val="00595BEF"/>
    <w:rsid w:val="005A463D"/>
    <w:rsid w:val="005A4D61"/>
    <w:rsid w:val="005A4F9D"/>
    <w:rsid w:val="005A60B6"/>
    <w:rsid w:val="005A638F"/>
    <w:rsid w:val="005B04C2"/>
    <w:rsid w:val="005B0968"/>
    <w:rsid w:val="005B2D21"/>
    <w:rsid w:val="005B381C"/>
    <w:rsid w:val="005B3822"/>
    <w:rsid w:val="005B3E9B"/>
    <w:rsid w:val="005B4D89"/>
    <w:rsid w:val="005B7740"/>
    <w:rsid w:val="005C0C36"/>
    <w:rsid w:val="005C2BB8"/>
    <w:rsid w:val="005C2ED1"/>
    <w:rsid w:val="005C567E"/>
    <w:rsid w:val="005C66CE"/>
    <w:rsid w:val="005D0A76"/>
    <w:rsid w:val="005D0D4C"/>
    <w:rsid w:val="005D1558"/>
    <w:rsid w:val="005D15A9"/>
    <w:rsid w:val="005D19CF"/>
    <w:rsid w:val="005E3A15"/>
    <w:rsid w:val="005E56B5"/>
    <w:rsid w:val="005E6F37"/>
    <w:rsid w:val="005E7674"/>
    <w:rsid w:val="005F0019"/>
    <w:rsid w:val="005F127D"/>
    <w:rsid w:val="005F1F2B"/>
    <w:rsid w:val="005F35F1"/>
    <w:rsid w:val="005F4B67"/>
    <w:rsid w:val="005F68D5"/>
    <w:rsid w:val="005F7AD0"/>
    <w:rsid w:val="0060131E"/>
    <w:rsid w:val="0060165C"/>
    <w:rsid w:val="00602CE9"/>
    <w:rsid w:val="00602E0A"/>
    <w:rsid w:val="006036BA"/>
    <w:rsid w:val="0060542C"/>
    <w:rsid w:val="00605672"/>
    <w:rsid w:val="00606E77"/>
    <w:rsid w:val="0061050E"/>
    <w:rsid w:val="006128BC"/>
    <w:rsid w:val="006132E4"/>
    <w:rsid w:val="00614B9F"/>
    <w:rsid w:val="00616686"/>
    <w:rsid w:val="00616FFC"/>
    <w:rsid w:val="006177FA"/>
    <w:rsid w:val="00620648"/>
    <w:rsid w:val="00620D3F"/>
    <w:rsid w:val="00626555"/>
    <w:rsid w:val="00630BA4"/>
    <w:rsid w:val="006342F5"/>
    <w:rsid w:val="00636B0F"/>
    <w:rsid w:val="006401BB"/>
    <w:rsid w:val="006425F6"/>
    <w:rsid w:val="006442F7"/>
    <w:rsid w:val="006455DC"/>
    <w:rsid w:val="006456B3"/>
    <w:rsid w:val="00650960"/>
    <w:rsid w:val="00652245"/>
    <w:rsid w:val="00655730"/>
    <w:rsid w:val="006574C6"/>
    <w:rsid w:val="00660AC8"/>
    <w:rsid w:val="00660CA3"/>
    <w:rsid w:val="00666A53"/>
    <w:rsid w:val="006671F2"/>
    <w:rsid w:val="006742BD"/>
    <w:rsid w:val="00675FB0"/>
    <w:rsid w:val="006767F5"/>
    <w:rsid w:val="00680761"/>
    <w:rsid w:val="006807F4"/>
    <w:rsid w:val="00680852"/>
    <w:rsid w:val="00680AB8"/>
    <w:rsid w:val="00680CA6"/>
    <w:rsid w:val="006816CE"/>
    <w:rsid w:val="006840C6"/>
    <w:rsid w:val="006842D7"/>
    <w:rsid w:val="006871AB"/>
    <w:rsid w:val="00687A8A"/>
    <w:rsid w:val="00687E42"/>
    <w:rsid w:val="00687F31"/>
    <w:rsid w:val="0069004E"/>
    <w:rsid w:val="0069012A"/>
    <w:rsid w:val="006906A2"/>
    <w:rsid w:val="00691392"/>
    <w:rsid w:val="00693511"/>
    <w:rsid w:val="00695B13"/>
    <w:rsid w:val="006A1180"/>
    <w:rsid w:val="006A3991"/>
    <w:rsid w:val="006A40B5"/>
    <w:rsid w:val="006A41E4"/>
    <w:rsid w:val="006A597D"/>
    <w:rsid w:val="006B0617"/>
    <w:rsid w:val="006B0F28"/>
    <w:rsid w:val="006B10AE"/>
    <w:rsid w:val="006B3599"/>
    <w:rsid w:val="006B6D67"/>
    <w:rsid w:val="006C0024"/>
    <w:rsid w:val="006C113B"/>
    <w:rsid w:val="006C3BA0"/>
    <w:rsid w:val="006C3CD1"/>
    <w:rsid w:val="006C4B82"/>
    <w:rsid w:val="006C666C"/>
    <w:rsid w:val="006C72CC"/>
    <w:rsid w:val="006C7883"/>
    <w:rsid w:val="006D3283"/>
    <w:rsid w:val="006D3AA4"/>
    <w:rsid w:val="006D42E6"/>
    <w:rsid w:val="006D4514"/>
    <w:rsid w:val="006D5B30"/>
    <w:rsid w:val="006E00AE"/>
    <w:rsid w:val="006E02BA"/>
    <w:rsid w:val="006E0A7D"/>
    <w:rsid w:val="006E0D1F"/>
    <w:rsid w:val="006E1D80"/>
    <w:rsid w:val="006E2479"/>
    <w:rsid w:val="006E2C47"/>
    <w:rsid w:val="006E3B5E"/>
    <w:rsid w:val="006E5522"/>
    <w:rsid w:val="006E5BB5"/>
    <w:rsid w:val="006E5D85"/>
    <w:rsid w:val="006E5E52"/>
    <w:rsid w:val="006E74A1"/>
    <w:rsid w:val="006F0D10"/>
    <w:rsid w:val="006F1EF1"/>
    <w:rsid w:val="006F1FCE"/>
    <w:rsid w:val="006F2613"/>
    <w:rsid w:val="006F2E54"/>
    <w:rsid w:val="006F558B"/>
    <w:rsid w:val="006F6464"/>
    <w:rsid w:val="00700406"/>
    <w:rsid w:val="0070196D"/>
    <w:rsid w:val="007039F8"/>
    <w:rsid w:val="007047D8"/>
    <w:rsid w:val="0070613D"/>
    <w:rsid w:val="00711B42"/>
    <w:rsid w:val="00714CA8"/>
    <w:rsid w:val="00715988"/>
    <w:rsid w:val="007177AC"/>
    <w:rsid w:val="00717B9F"/>
    <w:rsid w:val="007209B6"/>
    <w:rsid w:val="00721B3B"/>
    <w:rsid w:val="007238A6"/>
    <w:rsid w:val="007243A8"/>
    <w:rsid w:val="00724639"/>
    <w:rsid w:val="00727A98"/>
    <w:rsid w:val="00727EB8"/>
    <w:rsid w:val="00730247"/>
    <w:rsid w:val="00730E5B"/>
    <w:rsid w:val="00732387"/>
    <w:rsid w:val="00732EF3"/>
    <w:rsid w:val="007344D2"/>
    <w:rsid w:val="00735B78"/>
    <w:rsid w:val="007379E7"/>
    <w:rsid w:val="00740942"/>
    <w:rsid w:val="00740EA6"/>
    <w:rsid w:val="007442B3"/>
    <w:rsid w:val="00744BD2"/>
    <w:rsid w:val="00746AE9"/>
    <w:rsid w:val="00751EDF"/>
    <w:rsid w:val="0075225C"/>
    <w:rsid w:val="007539D3"/>
    <w:rsid w:val="007572AE"/>
    <w:rsid w:val="0075757D"/>
    <w:rsid w:val="00760437"/>
    <w:rsid w:val="00760E2B"/>
    <w:rsid w:val="00764A10"/>
    <w:rsid w:val="00764A60"/>
    <w:rsid w:val="00765752"/>
    <w:rsid w:val="00765D68"/>
    <w:rsid w:val="00772081"/>
    <w:rsid w:val="00775D4B"/>
    <w:rsid w:val="00780EE4"/>
    <w:rsid w:val="0078163A"/>
    <w:rsid w:val="00781BFF"/>
    <w:rsid w:val="00782CB3"/>
    <w:rsid w:val="00782EBC"/>
    <w:rsid w:val="007855F4"/>
    <w:rsid w:val="00791CE6"/>
    <w:rsid w:val="00792911"/>
    <w:rsid w:val="00795778"/>
    <w:rsid w:val="007A0A61"/>
    <w:rsid w:val="007A1DA7"/>
    <w:rsid w:val="007A34CA"/>
    <w:rsid w:val="007B4856"/>
    <w:rsid w:val="007B6668"/>
    <w:rsid w:val="007C081E"/>
    <w:rsid w:val="007C2167"/>
    <w:rsid w:val="007C25BD"/>
    <w:rsid w:val="007C501C"/>
    <w:rsid w:val="007C717E"/>
    <w:rsid w:val="007D048A"/>
    <w:rsid w:val="007D2C52"/>
    <w:rsid w:val="007D3F52"/>
    <w:rsid w:val="007D4524"/>
    <w:rsid w:val="007D458B"/>
    <w:rsid w:val="007D525F"/>
    <w:rsid w:val="007D538F"/>
    <w:rsid w:val="007D692B"/>
    <w:rsid w:val="007D6EF9"/>
    <w:rsid w:val="007E1B39"/>
    <w:rsid w:val="007E2A7F"/>
    <w:rsid w:val="007E319F"/>
    <w:rsid w:val="007E60FC"/>
    <w:rsid w:val="007E6831"/>
    <w:rsid w:val="007F1E90"/>
    <w:rsid w:val="007F5567"/>
    <w:rsid w:val="007F5B0D"/>
    <w:rsid w:val="00802E02"/>
    <w:rsid w:val="0080351B"/>
    <w:rsid w:val="00803769"/>
    <w:rsid w:val="008047E5"/>
    <w:rsid w:val="0080645B"/>
    <w:rsid w:val="0081652C"/>
    <w:rsid w:val="008166B2"/>
    <w:rsid w:val="0082080D"/>
    <w:rsid w:val="0082124E"/>
    <w:rsid w:val="008222C8"/>
    <w:rsid w:val="00823A3F"/>
    <w:rsid w:val="00826A6D"/>
    <w:rsid w:val="00831100"/>
    <w:rsid w:val="008327FF"/>
    <w:rsid w:val="008359AB"/>
    <w:rsid w:val="00835CBC"/>
    <w:rsid w:val="008372F2"/>
    <w:rsid w:val="00837F13"/>
    <w:rsid w:val="0084395D"/>
    <w:rsid w:val="00844DCF"/>
    <w:rsid w:val="00845FE3"/>
    <w:rsid w:val="0084618F"/>
    <w:rsid w:val="00847037"/>
    <w:rsid w:val="00847469"/>
    <w:rsid w:val="008477F3"/>
    <w:rsid w:val="00852C4F"/>
    <w:rsid w:val="00853BD6"/>
    <w:rsid w:val="00855B9C"/>
    <w:rsid w:val="00861833"/>
    <w:rsid w:val="00862651"/>
    <w:rsid w:val="00865EF1"/>
    <w:rsid w:val="00866042"/>
    <w:rsid w:val="008668A4"/>
    <w:rsid w:val="00872528"/>
    <w:rsid w:val="008765C8"/>
    <w:rsid w:val="0087712F"/>
    <w:rsid w:val="008806B5"/>
    <w:rsid w:val="00880D16"/>
    <w:rsid w:val="00880DA6"/>
    <w:rsid w:val="00881A37"/>
    <w:rsid w:val="00882515"/>
    <w:rsid w:val="00883C56"/>
    <w:rsid w:val="00884A99"/>
    <w:rsid w:val="00885217"/>
    <w:rsid w:val="00885DE7"/>
    <w:rsid w:val="00890FE8"/>
    <w:rsid w:val="008935E7"/>
    <w:rsid w:val="00895FF0"/>
    <w:rsid w:val="0089722A"/>
    <w:rsid w:val="008A0184"/>
    <w:rsid w:val="008A2CC9"/>
    <w:rsid w:val="008A4692"/>
    <w:rsid w:val="008A5454"/>
    <w:rsid w:val="008B115F"/>
    <w:rsid w:val="008B1D81"/>
    <w:rsid w:val="008B1FC0"/>
    <w:rsid w:val="008B27FC"/>
    <w:rsid w:val="008B351E"/>
    <w:rsid w:val="008B3597"/>
    <w:rsid w:val="008B36BE"/>
    <w:rsid w:val="008B3B7B"/>
    <w:rsid w:val="008B573C"/>
    <w:rsid w:val="008B6545"/>
    <w:rsid w:val="008B6B4C"/>
    <w:rsid w:val="008B7D22"/>
    <w:rsid w:val="008C141B"/>
    <w:rsid w:val="008C36D8"/>
    <w:rsid w:val="008C3C8F"/>
    <w:rsid w:val="008C6141"/>
    <w:rsid w:val="008D00AE"/>
    <w:rsid w:val="008D2746"/>
    <w:rsid w:val="008D4471"/>
    <w:rsid w:val="008D5649"/>
    <w:rsid w:val="008E2A2C"/>
    <w:rsid w:val="008F03E6"/>
    <w:rsid w:val="008F07F7"/>
    <w:rsid w:val="008F45FD"/>
    <w:rsid w:val="008F4DA5"/>
    <w:rsid w:val="008F5043"/>
    <w:rsid w:val="008F5F58"/>
    <w:rsid w:val="008F7235"/>
    <w:rsid w:val="009001F1"/>
    <w:rsid w:val="0090068C"/>
    <w:rsid w:val="009009F8"/>
    <w:rsid w:val="00903B4D"/>
    <w:rsid w:val="00907F9F"/>
    <w:rsid w:val="00910636"/>
    <w:rsid w:val="00912CFF"/>
    <w:rsid w:val="00912D5A"/>
    <w:rsid w:val="00912FA9"/>
    <w:rsid w:val="009131DD"/>
    <w:rsid w:val="00914FA2"/>
    <w:rsid w:val="009151EB"/>
    <w:rsid w:val="009156D7"/>
    <w:rsid w:val="00916B67"/>
    <w:rsid w:val="00922121"/>
    <w:rsid w:val="009257E4"/>
    <w:rsid w:val="00926276"/>
    <w:rsid w:val="009272CA"/>
    <w:rsid w:val="0092749C"/>
    <w:rsid w:val="00927CFB"/>
    <w:rsid w:val="00932C14"/>
    <w:rsid w:val="00933FF2"/>
    <w:rsid w:val="00934D94"/>
    <w:rsid w:val="009377AB"/>
    <w:rsid w:val="00937EC1"/>
    <w:rsid w:val="00940890"/>
    <w:rsid w:val="009412CF"/>
    <w:rsid w:val="00942170"/>
    <w:rsid w:val="00942E05"/>
    <w:rsid w:val="0094389F"/>
    <w:rsid w:val="00943D5A"/>
    <w:rsid w:val="009443E7"/>
    <w:rsid w:val="00947320"/>
    <w:rsid w:val="00954E46"/>
    <w:rsid w:val="00957892"/>
    <w:rsid w:val="0096359A"/>
    <w:rsid w:val="00965BDB"/>
    <w:rsid w:val="00966607"/>
    <w:rsid w:val="00967362"/>
    <w:rsid w:val="00967435"/>
    <w:rsid w:val="009710DA"/>
    <w:rsid w:val="009720C4"/>
    <w:rsid w:val="009722BB"/>
    <w:rsid w:val="0097392F"/>
    <w:rsid w:val="00974BD5"/>
    <w:rsid w:val="00976989"/>
    <w:rsid w:val="00977C2F"/>
    <w:rsid w:val="00977CE8"/>
    <w:rsid w:val="009837A8"/>
    <w:rsid w:val="009838C8"/>
    <w:rsid w:val="0098489D"/>
    <w:rsid w:val="00994C34"/>
    <w:rsid w:val="00994EF4"/>
    <w:rsid w:val="00996F8C"/>
    <w:rsid w:val="009971DF"/>
    <w:rsid w:val="00997EA1"/>
    <w:rsid w:val="009A1752"/>
    <w:rsid w:val="009A1A35"/>
    <w:rsid w:val="009A2A00"/>
    <w:rsid w:val="009A3883"/>
    <w:rsid w:val="009A4542"/>
    <w:rsid w:val="009A515C"/>
    <w:rsid w:val="009A6A97"/>
    <w:rsid w:val="009B1300"/>
    <w:rsid w:val="009B3127"/>
    <w:rsid w:val="009B4C40"/>
    <w:rsid w:val="009B6E65"/>
    <w:rsid w:val="009B7A8D"/>
    <w:rsid w:val="009C0F3A"/>
    <w:rsid w:val="009C1316"/>
    <w:rsid w:val="009C1DC3"/>
    <w:rsid w:val="009C2B2A"/>
    <w:rsid w:val="009C2CB5"/>
    <w:rsid w:val="009C3B29"/>
    <w:rsid w:val="009C3C85"/>
    <w:rsid w:val="009C442A"/>
    <w:rsid w:val="009C468A"/>
    <w:rsid w:val="009C5EC1"/>
    <w:rsid w:val="009C6CA6"/>
    <w:rsid w:val="009C6E32"/>
    <w:rsid w:val="009C7061"/>
    <w:rsid w:val="009D33AE"/>
    <w:rsid w:val="009D413D"/>
    <w:rsid w:val="009D4A1D"/>
    <w:rsid w:val="009D61BA"/>
    <w:rsid w:val="009D643C"/>
    <w:rsid w:val="009D6B17"/>
    <w:rsid w:val="009D7610"/>
    <w:rsid w:val="009D7F2B"/>
    <w:rsid w:val="009E2D85"/>
    <w:rsid w:val="009E4C62"/>
    <w:rsid w:val="009E5548"/>
    <w:rsid w:val="009E5818"/>
    <w:rsid w:val="009E7B78"/>
    <w:rsid w:val="009F00E8"/>
    <w:rsid w:val="009F0CBE"/>
    <w:rsid w:val="009F21EE"/>
    <w:rsid w:val="009F2CE3"/>
    <w:rsid w:val="009F411C"/>
    <w:rsid w:val="009F5321"/>
    <w:rsid w:val="009F56E1"/>
    <w:rsid w:val="009F79B0"/>
    <w:rsid w:val="00A007A1"/>
    <w:rsid w:val="00A01009"/>
    <w:rsid w:val="00A01DE3"/>
    <w:rsid w:val="00A028FE"/>
    <w:rsid w:val="00A03ED5"/>
    <w:rsid w:val="00A03F41"/>
    <w:rsid w:val="00A041B6"/>
    <w:rsid w:val="00A044BB"/>
    <w:rsid w:val="00A05A1B"/>
    <w:rsid w:val="00A1643E"/>
    <w:rsid w:val="00A164F6"/>
    <w:rsid w:val="00A16BA6"/>
    <w:rsid w:val="00A25420"/>
    <w:rsid w:val="00A26D0B"/>
    <w:rsid w:val="00A27283"/>
    <w:rsid w:val="00A31AF5"/>
    <w:rsid w:val="00A32BDA"/>
    <w:rsid w:val="00A34F3B"/>
    <w:rsid w:val="00A35552"/>
    <w:rsid w:val="00A3753E"/>
    <w:rsid w:val="00A37C47"/>
    <w:rsid w:val="00A37D63"/>
    <w:rsid w:val="00A41707"/>
    <w:rsid w:val="00A42580"/>
    <w:rsid w:val="00A427E2"/>
    <w:rsid w:val="00A42890"/>
    <w:rsid w:val="00A435FE"/>
    <w:rsid w:val="00A47963"/>
    <w:rsid w:val="00A51E44"/>
    <w:rsid w:val="00A53DE2"/>
    <w:rsid w:val="00A53F68"/>
    <w:rsid w:val="00A56DCB"/>
    <w:rsid w:val="00A60D06"/>
    <w:rsid w:val="00A614F6"/>
    <w:rsid w:val="00A615EF"/>
    <w:rsid w:val="00A61783"/>
    <w:rsid w:val="00A62FE5"/>
    <w:rsid w:val="00A63257"/>
    <w:rsid w:val="00A63662"/>
    <w:rsid w:val="00A63B18"/>
    <w:rsid w:val="00A63FD0"/>
    <w:rsid w:val="00A65108"/>
    <w:rsid w:val="00A65637"/>
    <w:rsid w:val="00A66255"/>
    <w:rsid w:val="00A705B7"/>
    <w:rsid w:val="00A7072F"/>
    <w:rsid w:val="00A711BA"/>
    <w:rsid w:val="00A71709"/>
    <w:rsid w:val="00A722A3"/>
    <w:rsid w:val="00A74402"/>
    <w:rsid w:val="00A769AB"/>
    <w:rsid w:val="00A7728A"/>
    <w:rsid w:val="00A80381"/>
    <w:rsid w:val="00A805A1"/>
    <w:rsid w:val="00A81282"/>
    <w:rsid w:val="00A825CA"/>
    <w:rsid w:val="00A84315"/>
    <w:rsid w:val="00A867C9"/>
    <w:rsid w:val="00A87299"/>
    <w:rsid w:val="00A877D8"/>
    <w:rsid w:val="00A87855"/>
    <w:rsid w:val="00A901A2"/>
    <w:rsid w:val="00A91D9D"/>
    <w:rsid w:val="00A92276"/>
    <w:rsid w:val="00A92BC1"/>
    <w:rsid w:val="00A976AA"/>
    <w:rsid w:val="00AA227F"/>
    <w:rsid w:val="00AA25D6"/>
    <w:rsid w:val="00AA27BA"/>
    <w:rsid w:val="00AA395F"/>
    <w:rsid w:val="00AA6876"/>
    <w:rsid w:val="00AB03E3"/>
    <w:rsid w:val="00AB1315"/>
    <w:rsid w:val="00AB131D"/>
    <w:rsid w:val="00AB1EBE"/>
    <w:rsid w:val="00AB1F2D"/>
    <w:rsid w:val="00AB3DD5"/>
    <w:rsid w:val="00AB411B"/>
    <w:rsid w:val="00AB5D8F"/>
    <w:rsid w:val="00AB64AE"/>
    <w:rsid w:val="00AB7F87"/>
    <w:rsid w:val="00AC2272"/>
    <w:rsid w:val="00AC2DCF"/>
    <w:rsid w:val="00AC598C"/>
    <w:rsid w:val="00AC6A93"/>
    <w:rsid w:val="00AC6D1E"/>
    <w:rsid w:val="00AC77A1"/>
    <w:rsid w:val="00AD022C"/>
    <w:rsid w:val="00AD2715"/>
    <w:rsid w:val="00AD3430"/>
    <w:rsid w:val="00AD4305"/>
    <w:rsid w:val="00AD5002"/>
    <w:rsid w:val="00AD50BF"/>
    <w:rsid w:val="00AD607C"/>
    <w:rsid w:val="00AD60B2"/>
    <w:rsid w:val="00AD6D1E"/>
    <w:rsid w:val="00AD74F0"/>
    <w:rsid w:val="00AE2267"/>
    <w:rsid w:val="00AE3D91"/>
    <w:rsid w:val="00AE5520"/>
    <w:rsid w:val="00AE7A9B"/>
    <w:rsid w:val="00AF0F28"/>
    <w:rsid w:val="00AF1C05"/>
    <w:rsid w:val="00AF3D92"/>
    <w:rsid w:val="00AF6D79"/>
    <w:rsid w:val="00B00BFD"/>
    <w:rsid w:val="00B02239"/>
    <w:rsid w:val="00B02903"/>
    <w:rsid w:val="00B03101"/>
    <w:rsid w:val="00B03F25"/>
    <w:rsid w:val="00B04310"/>
    <w:rsid w:val="00B06344"/>
    <w:rsid w:val="00B06CDC"/>
    <w:rsid w:val="00B074E6"/>
    <w:rsid w:val="00B10A0F"/>
    <w:rsid w:val="00B11D11"/>
    <w:rsid w:val="00B12360"/>
    <w:rsid w:val="00B12E90"/>
    <w:rsid w:val="00B15E41"/>
    <w:rsid w:val="00B17E06"/>
    <w:rsid w:val="00B23925"/>
    <w:rsid w:val="00B24C4A"/>
    <w:rsid w:val="00B2699F"/>
    <w:rsid w:val="00B3002C"/>
    <w:rsid w:val="00B326C4"/>
    <w:rsid w:val="00B36198"/>
    <w:rsid w:val="00B37AD9"/>
    <w:rsid w:val="00B44922"/>
    <w:rsid w:val="00B51A23"/>
    <w:rsid w:val="00B51DBD"/>
    <w:rsid w:val="00B526B1"/>
    <w:rsid w:val="00B52925"/>
    <w:rsid w:val="00B53F47"/>
    <w:rsid w:val="00B56515"/>
    <w:rsid w:val="00B6066E"/>
    <w:rsid w:val="00B62551"/>
    <w:rsid w:val="00B657DE"/>
    <w:rsid w:val="00B7064B"/>
    <w:rsid w:val="00B709E5"/>
    <w:rsid w:val="00B70B39"/>
    <w:rsid w:val="00B72710"/>
    <w:rsid w:val="00B72A46"/>
    <w:rsid w:val="00B73A9B"/>
    <w:rsid w:val="00B743F2"/>
    <w:rsid w:val="00B74719"/>
    <w:rsid w:val="00B76578"/>
    <w:rsid w:val="00B77069"/>
    <w:rsid w:val="00B81279"/>
    <w:rsid w:val="00B812B5"/>
    <w:rsid w:val="00B81C52"/>
    <w:rsid w:val="00B82E2B"/>
    <w:rsid w:val="00B848C8"/>
    <w:rsid w:val="00B852D5"/>
    <w:rsid w:val="00B85B37"/>
    <w:rsid w:val="00B85E15"/>
    <w:rsid w:val="00B8767D"/>
    <w:rsid w:val="00B900F4"/>
    <w:rsid w:val="00B93AAC"/>
    <w:rsid w:val="00B944F2"/>
    <w:rsid w:val="00B94BC5"/>
    <w:rsid w:val="00BA138F"/>
    <w:rsid w:val="00BA2313"/>
    <w:rsid w:val="00BA4945"/>
    <w:rsid w:val="00BB0EAB"/>
    <w:rsid w:val="00BB1BEA"/>
    <w:rsid w:val="00BB518E"/>
    <w:rsid w:val="00BB682E"/>
    <w:rsid w:val="00BB6EAA"/>
    <w:rsid w:val="00BB6FD9"/>
    <w:rsid w:val="00BB729E"/>
    <w:rsid w:val="00BC0180"/>
    <w:rsid w:val="00BC1D90"/>
    <w:rsid w:val="00BC1E58"/>
    <w:rsid w:val="00BC218C"/>
    <w:rsid w:val="00BC3199"/>
    <w:rsid w:val="00BC323D"/>
    <w:rsid w:val="00BC6550"/>
    <w:rsid w:val="00BC6769"/>
    <w:rsid w:val="00BC7494"/>
    <w:rsid w:val="00BD1063"/>
    <w:rsid w:val="00BD2194"/>
    <w:rsid w:val="00BD2742"/>
    <w:rsid w:val="00BD2C85"/>
    <w:rsid w:val="00BD3DD9"/>
    <w:rsid w:val="00BD4438"/>
    <w:rsid w:val="00BD4C32"/>
    <w:rsid w:val="00BD5033"/>
    <w:rsid w:val="00BD570F"/>
    <w:rsid w:val="00BE0477"/>
    <w:rsid w:val="00BE4575"/>
    <w:rsid w:val="00BE60C4"/>
    <w:rsid w:val="00BE6203"/>
    <w:rsid w:val="00BE729B"/>
    <w:rsid w:val="00BE7B48"/>
    <w:rsid w:val="00BF0A8E"/>
    <w:rsid w:val="00BF3527"/>
    <w:rsid w:val="00BF419B"/>
    <w:rsid w:val="00BF5246"/>
    <w:rsid w:val="00BF6F9C"/>
    <w:rsid w:val="00C009CA"/>
    <w:rsid w:val="00C02F25"/>
    <w:rsid w:val="00C06954"/>
    <w:rsid w:val="00C07C39"/>
    <w:rsid w:val="00C10FE8"/>
    <w:rsid w:val="00C13A0A"/>
    <w:rsid w:val="00C13EA7"/>
    <w:rsid w:val="00C147CC"/>
    <w:rsid w:val="00C14947"/>
    <w:rsid w:val="00C1508D"/>
    <w:rsid w:val="00C21330"/>
    <w:rsid w:val="00C22485"/>
    <w:rsid w:val="00C245FB"/>
    <w:rsid w:val="00C32953"/>
    <w:rsid w:val="00C32B7D"/>
    <w:rsid w:val="00C348A8"/>
    <w:rsid w:val="00C34D34"/>
    <w:rsid w:val="00C35E53"/>
    <w:rsid w:val="00C36656"/>
    <w:rsid w:val="00C400CD"/>
    <w:rsid w:val="00C41A8E"/>
    <w:rsid w:val="00C434A6"/>
    <w:rsid w:val="00C44A78"/>
    <w:rsid w:val="00C46D11"/>
    <w:rsid w:val="00C47699"/>
    <w:rsid w:val="00C513F1"/>
    <w:rsid w:val="00C51623"/>
    <w:rsid w:val="00C51A69"/>
    <w:rsid w:val="00C51FD2"/>
    <w:rsid w:val="00C521E7"/>
    <w:rsid w:val="00C52CE0"/>
    <w:rsid w:val="00C53706"/>
    <w:rsid w:val="00C54A71"/>
    <w:rsid w:val="00C6164F"/>
    <w:rsid w:val="00C662F4"/>
    <w:rsid w:val="00C66728"/>
    <w:rsid w:val="00C66ADB"/>
    <w:rsid w:val="00C67539"/>
    <w:rsid w:val="00C702E7"/>
    <w:rsid w:val="00C70973"/>
    <w:rsid w:val="00C709F0"/>
    <w:rsid w:val="00C72475"/>
    <w:rsid w:val="00C72BA3"/>
    <w:rsid w:val="00C73FB2"/>
    <w:rsid w:val="00C74811"/>
    <w:rsid w:val="00C752D7"/>
    <w:rsid w:val="00C75468"/>
    <w:rsid w:val="00C76088"/>
    <w:rsid w:val="00C76726"/>
    <w:rsid w:val="00C76ECE"/>
    <w:rsid w:val="00C8006C"/>
    <w:rsid w:val="00C83C97"/>
    <w:rsid w:val="00C877F2"/>
    <w:rsid w:val="00C90C94"/>
    <w:rsid w:val="00C95450"/>
    <w:rsid w:val="00C962CD"/>
    <w:rsid w:val="00C968D6"/>
    <w:rsid w:val="00C97DEA"/>
    <w:rsid w:val="00CA1A6D"/>
    <w:rsid w:val="00CA2151"/>
    <w:rsid w:val="00CA231B"/>
    <w:rsid w:val="00CA25ED"/>
    <w:rsid w:val="00CA2848"/>
    <w:rsid w:val="00CA2AC1"/>
    <w:rsid w:val="00CA403B"/>
    <w:rsid w:val="00CA49E0"/>
    <w:rsid w:val="00CA4DAA"/>
    <w:rsid w:val="00CA5EA4"/>
    <w:rsid w:val="00CB1D30"/>
    <w:rsid w:val="00CB28A6"/>
    <w:rsid w:val="00CB322F"/>
    <w:rsid w:val="00CB47C5"/>
    <w:rsid w:val="00CB51F4"/>
    <w:rsid w:val="00CC0C9B"/>
    <w:rsid w:val="00CC2A1E"/>
    <w:rsid w:val="00CC4B64"/>
    <w:rsid w:val="00CC5247"/>
    <w:rsid w:val="00CC6A4D"/>
    <w:rsid w:val="00CC7D7C"/>
    <w:rsid w:val="00CD0892"/>
    <w:rsid w:val="00CD2A04"/>
    <w:rsid w:val="00CD4310"/>
    <w:rsid w:val="00CD49C3"/>
    <w:rsid w:val="00CD4F5D"/>
    <w:rsid w:val="00CE31A4"/>
    <w:rsid w:val="00CE3FDD"/>
    <w:rsid w:val="00CE6193"/>
    <w:rsid w:val="00CE634E"/>
    <w:rsid w:val="00CE6A8D"/>
    <w:rsid w:val="00CE7451"/>
    <w:rsid w:val="00CE7746"/>
    <w:rsid w:val="00CE7AC5"/>
    <w:rsid w:val="00CF0B6B"/>
    <w:rsid w:val="00CF160B"/>
    <w:rsid w:val="00CF2665"/>
    <w:rsid w:val="00CF4F32"/>
    <w:rsid w:val="00CF6304"/>
    <w:rsid w:val="00CF7F9B"/>
    <w:rsid w:val="00D00FAC"/>
    <w:rsid w:val="00D02653"/>
    <w:rsid w:val="00D123AC"/>
    <w:rsid w:val="00D166A1"/>
    <w:rsid w:val="00D17BAE"/>
    <w:rsid w:val="00D22522"/>
    <w:rsid w:val="00D22F95"/>
    <w:rsid w:val="00D24EE3"/>
    <w:rsid w:val="00D25072"/>
    <w:rsid w:val="00D251AA"/>
    <w:rsid w:val="00D2602B"/>
    <w:rsid w:val="00D2736E"/>
    <w:rsid w:val="00D27766"/>
    <w:rsid w:val="00D27929"/>
    <w:rsid w:val="00D33566"/>
    <w:rsid w:val="00D33914"/>
    <w:rsid w:val="00D353F5"/>
    <w:rsid w:val="00D356F2"/>
    <w:rsid w:val="00D35740"/>
    <w:rsid w:val="00D36621"/>
    <w:rsid w:val="00D3726A"/>
    <w:rsid w:val="00D37A70"/>
    <w:rsid w:val="00D37B34"/>
    <w:rsid w:val="00D42338"/>
    <w:rsid w:val="00D42D24"/>
    <w:rsid w:val="00D436B0"/>
    <w:rsid w:val="00D506C6"/>
    <w:rsid w:val="00D51137"/>
    <w:rsid w:val="00D56B12"/>
    <w:rsid w:val="00D601C5"/>
    <w:rsid w:val="00D607A2"/>
    <w:rsid w:val="00D62EB4"/>
    <w:rsid w:val="00D63D8A"/>
    <w:rsid w:val="00D67B41"/>
    <w:rsid w:val="00D67BE4"/>
    <w:rsid w:val="00D70C91"/>
    <w:rsid w:val="00D71772"/>
    <w:rsid w:val="00D71EC4"/>
    <w:rsid w:val="00D7378E"/>
    <w:rsid w:val="00D7445F"/>
    <w:rsid w:val="00D745A0"/>
    <w:rsid w:val="00D74E3D"/>
    <w:rsid w:val="00D80026"/>
    <w:rsid w:val="00D8512D"/>
    <w:rsid w:val="00D9279D"/>
    <w:rsid w:val="00D92AD6"/>
    <w:rsid w:val="00D931FE"/>
    <w:rsid w:val="00D933C3"/>
    <w:rsid w:val="00D9497E"/>
    <w:rsid w:val="00D95043"/>
    <w:rsid w:val="00DA11A5"/>
    <w:rsid w:val="00DA23C2"/>
    <w:rsid w:val="00DA4E5F"/>
    <w:rsid w:val="00DA52F8"/>
    <w:rsid w:val="00DB0FA1"/>
    <w:rsid w:val="00DB4A55"/>
    <w:rsid w:val="00DB7129"/>
    <w:rsid w:val="00DC076D"/>
    <w:rsid w:val="00DC404F"/>
    <w:rsid w:val="00DC4808"/>
    <w:rsid w:val="00DC4921"/>
    <w:rsid w:val="00DC4C91"/>
    <w:rsid w:val="00DC64C6"/>
    <w:rsid w:val="00DD0689"/>
    <w:rsid w:val="00DD0E86"/>
    <w:rsid w:val="00DD2151"/>
    <w:rsid w:val="00DD22C9"/>
    <w:rsid w:val="00DD3EAC"/>
    <w:rsid w:val="00DD7A36"/>
    <w:rsid w:val="00DE30AB"/>
    <w:rsid w:val="00DE548F"/>
    <w:rsid w:val="00DF0412"/>
    <w:rsid w:val="00DF078C"/>
    <w:rsid w:val="00DF07AD"/>
    <w:rsid w:val="00DF09D0"/>
    <w:rsid w:val="00DF217D"/>
    <w:rsid w:val="00DF24FB"/>
    <w:rsid w:val="00DF385F"/>
    <w:rsid w:val="00DF3C0D"/>
    <w:rsid w:val="00DF75EA"/>
    <w:rsid w:val="00E02B9D"/>
    <w:rsid w:val="00E02D55"/>
    <w:rsid w:val="00E033DF"/>
    <w:rsid w:val="00E034A3"/>
    <w:rsid w:val="00E03670"/>
    <w:rsid w:val="00E04376"/>
    <w:rsid w:val="00E057F5"/>
    <w:rsid w:val="00E0595B"/>
    <w:rsid w:val="00E05CB5"/>
    <w:rsid w:val="00E0628F"/>
    <w:rsid w:val="00E116C8"/>
    <w:rsid w:val="00E126B8"/>
    <w:rsid w:val="00E13E41"/>
    <w:rsid w:val="00E15B63"/>
    <w:rsid w:val="00E15D2C"/>
    <w:rsid w:val="00E162B3"/>
    <w:rsid w:val="00E163A9"/>
    <w:rsid w:val="00E16813"/>
    <w:rsid w:val="00E17B4D"/>
    <w:rsid w:val="00E21A98"/>
    <w:rsid w:val="00E21E03"/>
    <w:rsid w:val="00E21E8C"/>
    <w:rsid w:val="00E22BB1"/>
    <w:rsid w:val="00E23DB0"/>
    <w:rsid w:val="00E248DD"/>
    <w:rsid w:val="00E25D23"/>
    <w:rsid w:val="00E27A81"/>
    <w:rsid w:val="00E3033A"/>
    <w:rsid w:val="00E33482"/>
    <w:rsid w:val="00E402D0"/>
    <w:rsid w:val="00E42606"/>
    <w:rsid w:val="00E428B4"/>
    <w:rsid w:val="00E4563B"/>
    <w:rsid w:val="00E46A44"/>
    <w:rsid w:val="00E50F02"/>
    <w:rsid w:val="00E50F60"/>
    <w:rsid w:val="00E51654"/>
    <w:rsid w:val="00E55A87"/>
    <w:rsid w:val="00E56091"/>
    <w:rsid w:val="00E5669A"/>
    <w:rsid w:val="00E57FB9"/>
    <w:rsid w:val="00E60F78"/>
    <w:rsid w:val="00E614B9"/>
    <w:rsid w:val="00E622AD"/>
    <w:rsid w:val="00E679EE"/>
    <w:rsid w:val="00E701C4"/>
    <w:rsid w:val="00E718F0"/>
    <w:rsid w:val="00E72BCF"/>
    <w:rsid w:val="00E73339"/>
    <w:rsid w:val="00E77C96"/>
    <w:rsid w:val="00E802E9"/>
    <w:rsid w:val="00E8061A"/>
    <w:rsid w:val="00E80A2B"/>
    <w:rsid w:val="00E8350F"/>
    <w:rsid w:val="00E84FCF"/>
    <w:rsid w:val="00E87181"/>
    <w:rsid w:val="00E90412"/>
    <w:rsid w:val="00E921AC"/>
    <w:rsid w:val="00E93BAE"/>
    <w:rsid w:val="00E93F5A"/>
    <w:rsid w:val="00E93F9D"/>
    <w:rsid w:val="00E94E62"/>
    <w:rsid w:val="00E96F4A"/>
    <w:rsid w:val="00E971DA"/>
    <w:rsid w:val="00EA0704"/>
    <w:rsid w:val="00EA0EAB"/>
    <w:rsid w:val="00EA1A79"/>
    <w:rsid w:val="00EA3709"/>
    <w:rsid w:val="00EA372E"/>
    <w:rsid w:val="00EA6CC9"/>
    <w:rsid w:val="00EB015B"/>
    <w:rsid w:val="00EB0E01"/>
    <w:rsid w:val="00EB1259"/>
    <w:rsid w:val="00EB1EC3"/>
    <w:rsid w:val="00EB1F9A"/>
    <w:rsid w:val="00EB4D1E"/>
    <w:rsid w:val="00EB7F3B"/>
    <w:rsid w:val="00EC169B"/>
    <w:rsid w:val="00EC2A66"/>
    <w:rsid w:val="00EC3425"/>
    <w:rsid w:val="00EC36AD"/>
    <w:rsid w:val="00EC53B7"/>
    <w:rsid w:val="00EC5E1B"/>
    <w:rsid w:val="00EC5EE1"/>
    <w:rsid w:val="00EC758D"/>
    <w:rsid w:val="00ED2904"/>
    <w:rsid w:val="00ED6404"/>
    <w:rsid w:val="00EE09C5"/>
    <w:rsid w:val="00EE1E74"/>
    <w:rsid w:val="00EE28BC"/>
    <w:rsid w:val="00EE3D6F"/>
    <w:rsid w:val="00EE41D4"/>
    <w:rsid w:val="00EE521A"/>
    <w:rsid w:val="00EE7A1A"/>
    <w:rsid w:val="00EF21AE"/>
    <w:rsid w:val="00EF2685"/>
    <w:rsid w:val="00EF3200"/>
    <w:rsid w:val="00EF4225"/>
    <w:rsid w:val="00EF660C"/>
    <w:rsid w:val="00EF69E2"/>
    <w:rsid w:val="00EF791B"/>
    <w:rsid w:val="00F00973"/>
    <w:rsid w:val="00F00BD3"/>
    <w:rsid w:val="00F10A7D"/>
    <w:rsid w:val="00F119B9"/>
    <w:rsid w:val="00F135D6"/>
    <w:rsid w:val="00F137F7"/>
    <w:rsid w:val="00F139A3"/>
    <w:rsid w:val="00F14F5F"/>
    <w:rsid w:val="00F15B0E"/>
    <w:rsid w:val="00F17B5B"/>
    <w:rsid w:val="00F24819"/>
    <w:rsid w:val="00F2595C"/>
    <w:rsid w:val="00F262B6"/>
    <w:rsid w:val="00F268A5"/>
    <w:rsid w:val="00F26EA3"/>
    <w:rsid w:val="00F27A80"/>
    <w:rsid w:val="00F325D8"/>
    <w:rsid w:val="00F334FA"/>
    <w:rsid w:val="00F35106"/>
    <w:rsid w:val="00F36936"/>
    <w:rsid w:val="00F416DD"/>
    <w:rsid w:val="00F43252"/>
    <w:rsid w:val="00F436D6"/>
    <w:rsid w:val="00F43B7B"/>
    <w:rsid w:val="00F43DED"/>
    <w:rsid w:val="00F443B7"/>
    <w:rsid w:val="00F447F1"/>
    <w:rsid w:val="00F45011"/>
    <w:rsid w:val="00F45DE5"/>
    <w:rsid w:val="00F461D7"/>
    <w:rsid w:val="00F47054"/>
    <w:rsid w:val="00F4791C"/>
    <w:rsid w:val="00F47C2D"/>
    <w:rsid w:val="00F5099F"/>
    <w:rsid w:val="00F50DEE"/>
    <w:rsid w:val="00F516C6"/>
    <w:rsid w:val="00F51E23"/>
    <w:rsid w:val="00F54FD1"/>
    <w:rsid w:val="00F55910"/>
    <w:rsid w:val="00F5656A"/>
    <w:rsid w:val="00F5661C"/>
    <w:rsid w:val="00F56949"/>
    <w:rsid w:val="00F56C63"/>
    <w:rsid w:val="00F61403"/>
    <w:rsid w:val="00F62F54"/>
    <w:rsid w:val="00F642C1"/>
    <w:rsid w:val="00F643F9"/>
    <w:rsid w:val="00F644ED"/>
    <w:rsid w:val="00F81549"/>
    <w:rsid w:val="00F81BD7"/>
    <w:rsid w:val="00F822DA"/>
    <w:rsid w:val="00F859C6"/>
    <w:rsid w:val="00F86698"/>
    <w:rsid w:val="00F86BC6"/>
    <w:rsid w:val="00F906F9"/>
    <w:rsid w:val="00F90CCD"/>
    <w:rsid w:val="00F91283"/>
    <w:rsid w:val="00F92C84"/>
    <w:rsid w:val="00F945B2"/>
    <w:rsid w:val="00F94989"/>
    <w:rsid w:val="00F951CC"/>
    <w:rsid w:val="00F957E8"/>
    <w:rsid w:val="00F959C8"/>
    <w:rsid w:val="00FA126E"/>
    <w:rsid w:val="00FA287B"/>
    <w:rsid w:val="00FA4AFF"/>
    <w:rsid w:val="00FA531E"/>
    <w:rsid w:val="00FB057C"/>
    <w:rsid w:val="00FB127F"/>
    <w:rsid w:val="00FB2BE8"/>
    <w:rsid w:val="00FB2C99"/>
    <w:rsid w:val="00FB51BF"/>
    <w:rsid w:val="00FB7155"/>
    <w:rsid w:val="00FC0E57"/>
    <w:rsid w:val="00FC118D"/>
    <w:rsid w:val="00FC1296"/>
    <w:rsid w:val="00FC22B7"/>
    <w:rsid w:val="00FC2860"/>
    <w:rsid w:val="00FC3388"/>
    <w:rsid w:val="00FC42A8"/>
    <w:rsid w:val="00FC4DD8"/>
    <w:rsid w:val="00FC7457"/>
    <w:rsid w:val="00FC7A1C"/>
    <w:rsid w:val="00FC7D02"/>
    <w:rsid w:val="00FD0191"/>
    <w:rsid w:val="00FD0982"/>
    <w:rsid w:val="00FD0FE0"/>
    <w:rsid w:val="00FD25EC"/>
    <w:rsid w:val="00FD34A5"/>
    <w:rsid w:val="00FD3DDF"/>
    <w:rsid w:val="00FD3DFB"/>
    <w:rsid w:val="00FD3EE2"/>
    <w:rsid w:val="00FD5B51"/>
    <w:rsid w:val="00FD5D00"/>
    <w:rsid w:val="00FD615E"/>
    <w:rsid w:val="00FD619E"/>
    <w:rsid w:val="00FD6401"/>
    <w:rsid w:val="00FD6CD0"/>
    <w:rsid w:val="00FD712F"/>
    <w:rsid w:val="00FD782B"/>
    <w:rsid w:val="00FE0C65"/>
    <w:rsid w:val="00FE0CD5"/>
    <w:rsid w:val="00FE47A7"/>
    <w:rsid w:val="00FE4C11"/>
    <w:rsid w:val="00FE54F3"/>
    <w:rsid w:val="00FE6F98"/>
    <w:rsid w:val="00FF0E2C"/>
    <w:rsid w:val="00FF100B"/>
    <w:rsid w:val="00FF473C"/>
    <w:rsid w:val="00FF63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nizales.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A452-136E-4533-B0B4-260D6E2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4609</Words>
  <Characters>25351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2016-05-11T22:35:00Z</cp:lastPrinted>
  <dcterms:created xsi:type="dcterms:W3CDTF">2016-05-20T22:00:00Z</dcterms:created>
  <dcterms:modified xsi:type="dcterms:W3CDTF">2016-05-20T22:00:00Z</dcterms:modified>
</cp:coreProperties>
</file>