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44" w:rsidRDefault="00CF1B44" w:rsidP="00A62BF1">
      <w:pPr>
        <w:jc w:val="both"/>
        <w:rPr>
          <w:rFonts w:ascii="Century Gothic" w:hAnsi="Century Gothic" w:cs="Tahoma"/>
          <w:sz w:val="22"/>
          <w:szCs w:val="22"/>
        </w:rPr>
      </w:pPr>
    </w:p>
    <w:p w:rsidR="00A62BF1" w:rsidRPr="002A2015" w:rsidRDefault="00A62BF1" w:rsidP="00A62BF1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2A2015">
        <w:rPr>
          <w:rFonts w:ascii="Century Gothic" w:hAnsi="Century Gothic" w:cs="Tahoma"/>
          <w:sz w:val="22"/>
          <w:szCs w:val="22"/>
        </w:rPr>
        <w:t>La Alcaldía de Manizales se permite publicar</w:t>
      </w:r>
      <w:r w:rsidR="007A63FD">
        <w:rPr>
          <w:rFonts w:ascii="Century Gothic" w:hAnsi="Century Gothic" w:cs="Tahoma"/>
          <w:b/>
          <w:sz w:val="22"/>
          <w:szCs w:val="22"/>
        </w:rPr>
        <w:t xml:space="preserve"> AVISO</w:t>
      </w:r>
      <w:r w:rsidRPr="002A2015">
        <w:rPr>
          <w:rFonts w:ascii="Century Gothic" w:hAnsi="Century Gothic" w:cs="Tahoma"/>
          <w:b/>
          <w:sz w:val="22"/>
          <w:szCs w:val="22"/>
        </w:rPr>
        <w:t xml:space="preserve">, </w:t>
      </w:r>
      <w:r w:rsidRPr="002A2015">
        <w:rPr>
          <w:rFonts w:ascii="Century Gothic" w:hAnsi="Century Gothic" w:cs="Tahoma"/>
          <w:sz w:val="22"/>
          <w:szCs w:val="22"/>
        </w:rPr>
        <w:t xml:space="preserve">de conformidad con lo establecido en los art. </w:t>
      </w:r>
      <w:r w:rsidR="007D51EB" w:rsidRPr="002A2015">
        <w:rPr>
          <w:rFonts w:ascii="Century Gothic" w:hAnsi="Century Gothic" w:cs="Tahoma"/>
          <w:sz w:val="22"/>
          <w:szCs w:val="22"/>
        </w:rPr>
        <w:t xml:space="preserve">69 </w:t>
      </w:r>
      <w:r w:rsidR="002A2015" w:rsidRPr="002A2015">
        <w:rPr>
          <w:rFonts w:ascii="Century Gothic" w:hAnsi="Century Gothic" w:cs="Tahoma"/>
          <w:sz w:val="22"/>
          <w:szCs w:val="22"/>
        </w:rPr>
        <w:t xml:space="preserve">de la ley 1437 de 2011, </w:t>
      </w:r>
      <w:r w:rsidR="002A2015" w:rsidRPr="002A2015">
        <w:rPr>
          <w:rFonts w:ascii="Century Gothic" w:hAnsi="Century Gothic" w:cs="Arial"/>
          <w:color w:val="333333"/>
          <w:sz w:val="22"/>
          <w:szCs w:val="22"/>
        </w:rPr>
        <w:t>artículo 626 de la Ley 1564 de 2012. Rige a partir del 1o. de enero de 2014, en los términos de</w:t>
      </w:r>
      <w:r w:rsidR="002A2015" w:rsidRPr="002A2015">
        <w:rPr>
          <w:rFonts w:ascii="Century Gothic" w:hAnsi="Century Gothic" w:cs="Arial"/>
          <w:color w:val="333333"/>
          <w:sz w:val="22"/>
          <w:szCs w:val="22"/>
        </w:rPr>
        <w:t>l numeral 6) del artículo 627, derogando el artículo</w:t>
      </w:r>
      <w:r w:rsidRPr="002A2015">
        <w:rPr>
          <w:rFonts w:ascii="Century Gothic" w:hAnsi="Century Gothic" w:cs="Tahoma"/>
          <w:sz w:val="22"/>
          <w:szCs w:val="22"/>
        </w:rPr>
        <w:t xml:space="preserve"> 318 del Código de Procedimiento Civil.</w:t>
      </w:r>
    </w:p>
    <w:p w:rsidR="00A62BF1" w:rsidRPr="00E64715" w:rsidRDefault="00A62BF1" w:rsidP="00A62BF1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CF1B44" w:rsidRDefault="00CF1B44" w:rsidP="007A63FD">
      <w:pPr>
        <w:contextualSpacing/>
        <w:jc w:val="both"/>
        <w:rPr>
          <w:rFonts w:ascii="Century Gothic" w:hAnsi="Century Gothic" w:cs="Tahoma"/>
          <w:b/>
          <w:sz w:val="22"/>
          <w:szCs w:val="22"/>
        </w:rPr>
      </w:pPr>
      <w:bookmarkStart w:id="0" w:name="_GoBack"/>
      <w:bookmarkEnd w:id="0"/>
    </w:p>
    <w:p w:rsidR="007A63FD" w:rsidRPr="00CF1B44" w:rsidRDefault="00A62BF1" w:rsidP="007A63FD">
      <w:pPr>
        <w:contextualSpacing/>
        <w:jc w:val="both"/>
        <w:rPr>
          <w:rFonts w:ascii="Century Gothic" w:hAnsi="Century Gothic" w:cs="Tahoma"/>
          <w:sz w:val="22"/>
          <w:szCs w:val="22"/>
        </w:rPr>
      </w:pPr>
      <w:r w:rsidRPr="007A63FD">
        <w:rPr>
          <w:rFonts w:ascii="Century Gothic" w:hAnsi="Century Gothic" w:cs="Tahoma"/>
          <w:b/>
          <w:sz w:val="22"/>
          <w:szCs w:val="22"/>
        </w:rPr>
        <w:t xml:space="preserve">LA SECRETARIA DE PLANEACION MUNICIPAL </w:t>
      </w:r>
      <w:r w:rsidRPr="007A63FD">
        <w:rPr>
          <w:rFonts w:ascii="Century Gothic" w:hAnsi="Century Gothic" w:cs="Tahoma"/>
          <w:sz w:val="22"/>
          <w:szCs w:val="22"/>
        </w:rPr>
        <w:t>de conformidad con lo establecido en art</w:t>
      </w:r>
      <w:r w:rsidR="007A63FD" w:rsidRPr="007A63FD">
        <w:rPr>
          <w:rFonts w:ascii="Century Gothic" w:hAnsi="Century Gothic" w:cs="Tahoma"/>
          <w:sz w:val="22"/>
          <w:szCs w:val="22"/>
        </w:rPr>
        <w:t>ículo 69</w:t>
      </w:r>
      <w:r w:rsidR="007A63FD">
        <w:rPr>
          <w:rFonts w:ascii="Century Gothic" w:hAnsi="Century Gothic" w:cs="Tahoma"/>
          <w:sz w:val="22"/>
          <w:szCs w:val="22"/>
        </w:rPr>
        <w:t xml:space="preserve"> de la Ley 1437 de 2011, este despacho procede </w:t>
      </w:r>
      <w:r w:rsidR="007A63FD" w:rsidRPr="007A63FD">
        <w:rPr>
          <w:rFonts w:ascii="Century Gothic" w:hAnsi="Century Gothic" w:cs="Tahoma"/>
          <w:b/>
          <w:sz w:val="22"/>
          <w:szCs w:val="22"/>
        </w:rPr>
        <w:t>NOTIFICAR POR AVISO</w:t>
      </w:r>
      <w:r w:rsidR="007A63FD">
        <w:rPr>
          <w:rFonts w:ascii="Century Gothic" w:hAnsi="Century Gothic" w:cs="Tahoma"/>
          <w:sz w:val="22"/>
          <w:szCs w:val="22"/>
        </w:rPr>
        <w:t xml:space="preserve">  a los señores: </w:t>
      </w:r>
      <w:r w:rsidR="007A63FD" w:rsidRPr="007B55AB">
        <w:rPr>
          <w:rFonts w:ascii="Century Gothic" w:hAnsi="Century Gothic" w:cs="Tahoma"/>
          <w:b/>
          <w:sz w:val="22"/>
          <w:szCs w:val="22"/>
        </w:rPr>
        <w:t>LUIS ALBERTO MONTOYA, JOSE GERMAN MONTOYA, JOSE FERNANDO AGUILAR, BET</w:t>
      </w:r>
      <w:r w:rsidR="007B55AB" w:rsidRPr="007B55AB">
        <w:rPr>
          <w:rFonts w:ascii="Century Gothic" w:hAnsi="Century Gothic" w:cs="Tahoma"/>
          <w:b/>
          <w:sz w:val="22"/>
          <w:szCs w:val="22"/>
        </w:rPr>
        <w:t>ILDA MONTOYA TABARES,   JOSE OMAR MONTOYA, JOSE FERNANDO MONTOYA TABAREZ, SOCORRO HERNANDEZ MONTOYA, LUZ DARY HERNANDEZ MONTOYA</w:t>
      </w:r>
      <w:r w:rsidR="007B55AB">
        <w:rPr>
          <w:rFonts w:ascii="Century Gothic" w:hAnsi="Century Gothic" w:cs="Tahoma"/>
          <w:sz w:val="22"/>
          <w:szCs w:val="22"/>
        </w:rPr>
        <w:t xml:space="preserve">, </w:t>
      </w:r>
      <w:r w:rsidR="00CF1B44" w:rsidRPr="00E64715">
        <w:rPr>
          <w:rFonts w:ascii="Century Gothic" w:hAnsi="Century Gothic" w:cs="Tahoma"/>
          <w:sz w:val="22"/>
          <w:szCs w:val="22"/>
        </w:rPr>
        <w:t>auto</w:t>
      </w:r>
      <w:r w:rsidR="00CF1B44">
        <w:rPr>
          <w:rFonts w:ascii="Century Gothic" w:hAnsi="Century Gothic" w:cs="Tahoma"/>
          <w:sz w:val="22"/>
          <w:szCs w:val="22"/>
        </w:rPr>
        <w:t xml:space="preserve"> de fecha </w:t>
      </w:r>
      <w:r w:rsidR="00CF1B44" w:rsidRPr="00CF1B44">
        <w:rPr>
          <w:rFonts w:ascii="Century Gothic" w:hAnsi="Century Gothic" w:cs="Tahoma"/>
          <w:b/>
          <w:sz w:val="22"/>
          <w:szCs w:val="22"/>
        </w:rPr>
        <w:t>28 de agosto de 2015</w:t>
      </w:r>
      <w:r w:rsidR="00CF1B44">
        <w:rPr>
          <w:rFonts w:ascii="Century Gothic" w:hAnsi="Century Gothic" w:cs="Tahoma"/>
          <w:sz w:val="22"/>
          <w:szCs w:val="22"/>
        </w:rPr>
        <w:t xml:space="preserve">, </w:t>
      </w:r>
      <w:r w:rsidR="00CF1B44" w:rsidRPr="00E64715">
        <w:rPr>
          <w:rFonts w:ascii="Century Gothic" w:hAnsi="Century Gothic" w:cs="Tahoma"/>
          <w:sz w:val="22"/>
          <w:szCs w:val="22"/>
        </w:rPr>
        <w:t xml:space="preserve"> por medio del cual se ordenó su vinculación al proceso de Amenaza de Ruina del inmueble que se ide</w:t>
      </w:r>
      <w:r w:rsidR="00CF1B44">
        <w:rPr>
          <w:rFonts w:ascii="Century Gothic" w:hAnsi="Century Gothic" w:cs="Tahoma"/>
          <w:sz w:val="22"/>
          <w:szCs w:val="22"/>
        </w:rPr>
        <w:t xml:space="preserve">ntifica con </w:t>
      </w:r>
      <w:r w:rsidR="00CF1B44">
        <w:rPr>
          <w:rFonts w:ascii="Century Gothic" w:hAnsi="Century Gothic" w:cs="Tahoma"/>
          <w:b/>
          <w:sz w:val="22"/>
          <w:szCs w:val="22"/>
        </w:rPr>
        <w:t>Ficha Catastral 01-04-0079-0004</w:t>
      </w:r>
      <w:r w:rsidR="00CF1B44" w:rsidRPr="003D50E4">
        <w:rPr>
          <w:rFonts w:ascii="Century Gothic" w:hAnsi="Century Gothic" w:cs="Tahoma"/>
          <w:b/>
          <w:sz w:val="22"/>
          <w:szCs w:val="22"/>
        </w:rPr>
        <w:t>-000</w:t>
      </w:r>
      <w:r w:rsidR="00CF1B44" w:rsidRPr="00E64715">
        <w:rPr>
          <w:rFonts w:ascii="Century Gothic" w:hAnsi="Century Gothic" w:cs="Tahoma"/>
          <w:sz w:val="22"/>
          <w:szCs w:val="22"/>
        </w:rPr>
        <w:t xml:space="preserve">, </w:t>
      </w:r>
      <w:r w:rsidR="00CF1B44" w:rsidRPr="003D50E4">
        <w:rPr>
          <w:rFonts w:ascii="Century Gothic" w:hAnsi="Century Gothic" w:cs="Tahoma"/>
          <w:b/>
          <w:sz w:val="22"/>
          <w:szCs w:val="22"/>
        </w:rPr>
        <w:t>y Matricula Inmobiliaria N°</w:t>
      </w:r>
      <w:r w:rsidR="00CF1B44">
        <w:rPr>
          <w:rFonts w:ascii="Century Gothic" w:hAnsi="Century Gothic" w:cs="Tahoma"/>
          <w:b/>
          <w:sz w:val="22"/>
          <w:szCs w:val="22"/>
        </w:rPr>
        <w:t>100-19708</w:t>
      </w:r>
      <w:r w:rsidR="00CF1B44">
        <w:rPr>
          <w:rFonts w:ascii="Century Gothic" w:hAnsi="Century Gothic" w:cs="Tahoma"/>
          <w:sz w:val="22"/>
          <w:szCs w:val="22"/>
        </w:rPr>
        <w:t>, ubicado en la</w:t>
      </w:r>
      <w:r w:rsidR="00CF1B44" w:rsidRPr="00CF1B44">
        <w:rPr>
          <w:rFonts w:ascii="Century Gothic" w:hAnsi="Century Gothic" w:cs="Tahoma"/>
          <w:b/>
          <w:sz w:val="22"/>
          <w:szCs w:val="22"/>
        </w:rPr>
        <w:t xml:space="preserve"> </w:t>
      </w:r>
      <w:r w:rsidR="00CF1B44" w:rsidRPr="007B55AB">
        <w:rPr>
          <w:rFonts w:ascii="Century Gothic" w:hAnsi="Century Gothic" w:cs="Tahoma"/>
          <w:b/>
          <w:sz w:val="22"/>
          <w:szCs w:val="22"/>
        </w:rPr>
        <w:t xml:space="preserve">Carrera 14 N°13-20 </w:t>
      </w:r>
      <w:r w:rsidR="00CF1B44">
        <w:rPr>
          <w:rFonts w:ascii="Century Gothic" w:hAnsi="Century Gothic" w:cs="Tahoma"/>
          <w:b/>
          <w:sz w:val="22"/>
          <w:szCs w:val="22"/>
        </w:rPr>
        <w:t>Barrio Campo H</w:t>
      </w:r>
      <w:r w:rsidR="00CF1B44" w:rsidRPr="007B55AB">
        <w:rPr>
          <w:rFonts w:ascii="Century Gothic" w:hAnsi="Century Gothic" w:cs="Tahoma"/>
          <w:b/>
          <w:sz w:val="22"/>
          <w:szCs w:val="22"/>
        </w:rPr>
        <w:t>ermoso</w:t>
      </w:r>
      <w:r w:rsidR="00CF1B44">
        <w:rPr>
          <w:rFonts w:ascii="Century Gothic" w:hAnsi="Century Gothic" w:cs="Tahoma"/>
          <w:sz w:val="22"/>
          <w:szCs w:val="22"/>
        </w:rPr>
        <w:t xml:space="preserve">, </w:t>
      </w:r>
      <w:r w:rsidR="00CF1B44" w:rsidRPr="00E64715">
        <w:rPr>
          <w:rFonts w:ascii="Century Gothic" w:hAnsi="Century Gothic" w:cs="Tahoma"/>
          <w:sz w:val="22"/>
          <w:szCs w:val="22"/>
        </w:rPr>
        <w:t>que se sigue en e</w:t>
      </w:r>
      <w:r w:rsidR="00CF1B44">
        <w:rPr>
          <w:rFonts w:ascii="Century Gothic" w:hAnsi="Century Gothic" w:cs="Tahoma"/>
          <w:sz w:val="22"/>
          <w:szCs w:val="22"/>
        </w:rPr>
        <w:t xml:space="preserve">ste despacho bajo el Radicado </w:t>
      </w:r>
      <w:r w:rsidR="00CF1B44">
        <w:rPr>
          <w:rFonts w:ascii="Century Gothic" w:hAnsi="Century Gothic" w:cs="Tahoma"/>
          <w:b/>
          <w:sz w:val="22"/>
          <w:szCs w:val="22"/>
        </w:rPr>
        <w:t>N°</w:t>
      </w:r>
      <w:r w:rsidR="00CF1B44">
        <w:rPr>
          <w:rFonts w:ascii="Century Gothic" w:hAnsi="Century Gothic" w:cs="Tahoma"/>
          <w:b/>
          <w:sz w:val="22"/>
          <w:szCs w:val="22"/>
        </w:rPr>
        <w:t>477</w:t>
      </w:r>
      <w:r w:rsidR="00CF1B44" w:rsidRPr="00F33F51">
        <w:rPr>
          <w:rFonts w:ascii="Century Gothic" w:hAnsi="Century Gothic" w:cs="Tahoma"/>
          <w:b/>
          <w:sz w:val="22"/>
          <w:szCs w:val="22"/>
        </w:rPr>
        <w:t>-2015,</w:t>
      </w:r>
      <w:r w:rsidR="00CF1B44" w:rsidRPr="00E64715">
        <w:rPr>
          <w:rFonts w:ascii="Century Gothic" w:hAnsi="Century Gothic" w:cs="Tahoma"/>
          <w:sz w:val="22"/>
          <w:szCs w:val="22"/>
        </w:rPr>
        <w:t xml:space="preserve"> el cual amenaza ruina para sus moradores y/o vecinos del sector; quienes deberán comparecer a esta Inspección de Control Urbano ubicada en la Calle 19 No 21-44 Propiedad Horizontal CAM tercer Piso (Secretaría de Planeación Municipal Oficina de Control Urbano) teléfono 8879700 Ext 71230-71231</w:t>
      </w:r>
      <w:r w:rsidR="00CF1B44">
        <w:rPr>
          <w:rFonts w:ascii="Century Gothic" w:hAnsi="Century Gothic" w:cs="Tahoma"/>
          <w:sz w:val="22"/>
          <w:szCs w:val="22"/>
        </w:rPr>
        <w:t xml:space="preserve">, </w:t>
      </w:r>
      <w:r w:rsidR="00CF1B44">
        <w:rPr>
          <w:rFonts w:ascii="Century Gothic" w:hAnsi="Century Gothic" w:cs="Tahoma"/>
          <w:sz w:val="22"/>
          <w:szCs w:val="22"/>
        </w:rPr>
        <w:t>con el fin de rendir declaración juramentada</w:t>
      </w:r>
      <w:r w:rsidR="00CF1B44">
        <w:rPr>
          <w:rFonts w:ascii="Century Gothic" w:hAnsi="Century Gothic" w:cs="Tahoma"/>
          <w:sz w:val="22"/>
          <w:szCs w:val="22"/>
        </w:rPr>
        <w:t xml:space="preserve">, dentro de los </w:t>
      </w:r>
      <w:r w:rsidR="00CF1B44" w:rsidRPr="00CF1B44">
        <w:rPr>
          <w:rFonts w:ascii="Century Gothic" w:hAnsi="Century Gothic" w:cs="Tahoma"/>
          <w:b/>
          <w:sz w:val="22"/>
          <w:szCs w:val="22"/>
        </w:rPr>
        <w:t>cinco(5)</w:t>
      </w:r>
      <w:r w:rsidR="00CF1B44">
        <w:rPr>
          <w:rFonts w:ascii="Century Gothic" w:hAnsi="Century Gothic" w:cs="Tahoma"/>
          <w:b/>
          <w:sz w:val="22"/>
          <w:szCs w:val="22"/>
        </w:rPr>
        <w:t xml:space="preserve"> </w:t>
      </w:r>
      <w:r w:rsidR="00CF1B44" w:rsidRPr="00CF1B44">
        <w:rPr>
          <w:rFonts w:ascii="Century Gothic" w:hAnsi="Century Gothic" w:cs="Tahoma"/>
          <w:sz w:val="22"/>
          <w:szCs w:val="22"/>
        </w:rPr>
        <w:t>días siguientes a la publicación de este aviso</w:t>
      </w:r>
      <w:r w:rsidR="00CF1B44">
        <w:rPr>
          <w:rFonts w:ascii="Century Gothic" w:hAnsi="Century Gothic" w:cs="Tahoma"/>
          <w:b/>
          <w:sz w:val="22"/>
          <w:szCs w:val="22"/>
        </w:rPr>
        <w:t xml:space="preserve">, </w:t>
      </w:r>
      <w:r w:rsidR="007B55AB" w:rsidRPr="00702C5B">
        <w:rPr>
          <w:rFonts w:ascii="Century Gothic" w:hAnsi="Century Gothic" w:cs="Tahoma"/>
          <w:bCs/>
          <w:sz w:val="22"/>
          <w:szCs w:val="22"/>
        </w:rPr>
        <w:t xml:space="preserve">De no contar con la posibilidad de </w:t>
      </w:r>
      <w:r w:rsidR="007B55AB" w:rsidRPr="00702C5B">
        <w:rPr>
          <w:rFonts w:ascii="Century Gothic" w:hAnsi="Century Gothic" w:cs="Tahoma"/>
          <w:bCs/>
          <w:sz w:val="22"/>
          <w:szCs w:val="22"/>
        </w:rPr>
        <w:t>presentarse</w:t>
      </w:r>
      <w:r w:rsidR="007B55AB" w:rsidRPr="00702C5B">
        <w:rPr>
          <w:rFonts w:ascii="Century Gothic" w:hAnsi="Century Gothic" w:cs="Tahoma"/>
          <w:bCs/>
          <w:sz w:val="22"/>
          <w:szCs w:val="22"/>
        </w:rPr>
        <w:t xml:space="preserve"> personal</w:t>
      </w:r>
      <w:r w:rsidR="007B55AB">
        <w:rPr>
          <w:rFonts w:ascii="Century Gothic" w:hAnsi="Century Gothic" w:cs="Tahoma"/>
          <w:bCs/>
          <w:sz w:val="22"/>
          <w:szCs w:val="22"/>
        </w:rPr>
        <w:t>mente, puede</w:t>
      </w:r>
      <w:r w:rsidR="007B55AB">
        <w:rPr>
          <w:rFonts w:ascii="Century Gothic" w:hAnsi="Century Gothic" w:cs="Tahoma"/>
          <w:bCs/>
          <w:sz w:val="22"/>
          <w:szCs w:val="22"/>
        </w:rPr>
        <w:t>n</w:t>
      </w:r>
      <w:r w:rsidR="007B55AB">
        <w:rPr>
          <w:rFonts w:ascii="Century Gothic" w:hAnsi="Century Gothic" w:cs="Tahoma"/>
          <w:bCs/>
          <w:sz w:val="22"/>
          <w:szCs w:val="22"/>
        </w:rPr>
        <w:t xml:space="preserve"> delegar en otro su representación para rendir declaración juramentada en su nombre, </w:t>
      </w:r>
      <w:r w:rsidR="007B55AB" w:rsidRPr="00702C5B">
        <w:rPr>
          <w:rFonts w:ascii="Century Gothic" w:hAnsi="Century Gothic" w:cs="Tahoma"/>
          <w:bCs/>
          <w:sz w:val="22"/>
          <w:szCs w:val="22"/>
        </w:rPr>
        <w:t>dentro del término concedido,</w:t>
      </w:r>
      <w:r w:rsidR="007B55AB">
        <w:rPr>
          <w:rFonts w:ascii="Century Gothic" w:hAnsi="Century Gothic" w:cs="Tahoma"/>
          <w:bCs/>
          <w:sz w:val="22"/>
          <w:szCs w:val="22"/>
        </w:rPr>
        <w:t xml:space="preserve"> ruego para esto, </w:t>
      </w:r>
      <w:r w:rsidR="007B55AB" w:rsidRPr="00702C5B">
        <w:rPr>
          <w:rFonts w:ascii="Century Gothic" w:hAnsi="Century Gothic" w:cs="Tahoma"/>
          <w:bCs/>
          <w:sz w:val="22"/>
          <w:szCs w:val="22"/>
        </w:rPr>
        <w:t xml:space="preserve">allegue el autorizado poder suscrito por los dos, para realizar con él la entrega del </w:t>
      </w:r>
      <w:r w:rsidR="007B55AB">
        <w:rPr>
          <w:rFonts w:ascii="Century Gothic" w:hAnsi="Century Gothic" w:cs="Tahoma"/>
          <w:bCs/>
          <w:sz w:val="22"/>
          <w:szCs w:val="22"/>
        </w:rPr>
        <w:t>informe de la U.G.R.</w:t>
      </w:r>
      <w:r w:rsidR="007B55AB">
        <w:rPr>
          <w:rFonts w:ascii="Century Gothic" w:hAnsi="Century Gothic" w:cs="Tahoma"/>
          <w:sz w:val="22"/>
          <w:szCs w:val="22"/>
        </w:rPr>
        <w:t xml:space="preserve"> </w:t>
      </w:r>
      <w:r w:rsidR="007B55AB" w:rsidRPr="003C226D">
        <w:rPr>
          <w:rFonts w:ascii="Century Gothic" w:eastAsia="Lucida Sans Unicode" w:hAnsi="Century Gothic" w:cs="Tahoma"/>
          <w:iCs/>
          <w:sz w:val="22"/>
          <w:szCs w:val="22"/>
        </w:rPr>
        <w:t xml:space="preserve">En </w:t>
      </w:r>
      <w:r w:rsidR="007B55AB">
        <w:rPr>
          <w:rFonts w:ascii="Century Gothic" w:eastAsia="Lucida Sans Unicode" w:hAnsi="Century Gothic" w:cs="Tahoma"/>
          <w:iCs/>
          <w:sz w:val="22"/>
          <w:szCs w:val="22"/>
        </w:rPr>
        <w:t xml:space="preserve">caso de no comparecer, se seguirá el proceso surtiendo las de correspondientes </w:t>
      </w:r>
      <w:proofErr w:type="gramStart"/>
      <w:r w:rsidR="007B55AB">
        <w:rPr>
          <w:rFonts w:ascii="Century Gothic" w:eastAsia="Lucida Sans Unicode" w:hAnsi="Century Gothic" w:cs="Tahoma"/>
          <w:iCs/>
          <w:sz w:val="22"/>
          <w:szCs w:val="22"/>
        </w:rPr>
        <w:t>etapas</w:t>
      </w:r>
      <w:proofErr w:type="gramEnd"/>
      <w:r w:rsidR="007B55AB">
        <w:rPr>
          <w:rFonts w:ascii="Century Gothic" w:eastAsia="Lucida Sans Unicode" w:hAnsi="Century Gothic" w:cs="Tahoma"/>
          <w:iCs/>
          <w:sz w:val="22"/>
          <w:szCs w:val="22"/>
        </w:rPr>
        <w:t xml:space="preserve"> notificatorias y de p</w:t>
      </w:r>
      <w:r w:rsidR="00CF1B44">
        <w:rPr>
          <w:rFonts w:ascii="Century Gothic" w:eastAsia="Lucida Sans Unicode" w:hAnsi="Century Gothic" w:cs="Tahoma"/>
          <w:iCs/>
          <w:sz w:val="22"/>
          <w:szCs w:val="22"/>
        </w:rPr>
        <w:t xml:space="preserve">ublicidad, de acuerdo al capítulo V </w:t>
      </w:r>
      <w:r w:rsidR="007B55AB">
        <w:rPr>
          <w:rFonts w:ascii="Century Gothic" w:eastAsia="Lucida Sans Unicode" w:hAnsi="Century Gothic" w:cs="Tahoma"/>
          <w:iCs/>
          <w:sz w:val="22"/>
          <w:szCs w:val="22"/>
        </w:rPr>
        <w:t>del C.P.A.C.A.B;</w:t>
      </w:r>
      <w:r w:rsidR="00CF1B44">
        <w:rPr>
          <w:rFonts w:ascii="Century Gothic" w:eastAsia="Lucida Sans Unicode" w:hAnsi="Century Gothic" w:cs="Tahoma"/>
          <w:iCs/>
          <w:sz w:val="22"/>
          <w:szCs w:val="22"/>
        </w:rPr>
        <w:t xml:space="preserve"> artículos</w:t>
      </w:r>
      <w:r w:rsidR="007B55AB">
        <w:rPr>
          <w:rFonts w:ascii="Century Gothic" w:eastAsia="Lucida Sans Unicode" w:hAnsi="Century Gothic" w:cs="Tahoma"/>
          <w:iCs/>
          <w:sz w:val="22"/>
          <w:szCs w:val="22"/>
        </w:rPr>
        <w:t xml:space="preserve"> siguientes y concordantes</w:t>
      </w:r>
      <w:r w:rsidR="007B55AB">
        <w:rPr>
          <w:rFonts w:ascii="Century Gothic" w:hAnsi="Century Gothic" w:cs="Tahoma"/>
          <w:sz w:val="22"/>
          <w:szCs w:val="22"/>
        </w:rPr>
        <w:t xml:space="preserve">. </w:t>
      </w:r>
      <w:r w:rsidR="007B55AB" w:rsidRPr="00E53AC5">
        <w:rPr>
          <w:rFonts w:ascii="Century Gothic" w:eastAsia="Lucida Sans Unicode" w:hAnsi="Century Gothic" w:cs="Tahoma"/>
          <w:sz w:val="22"/>
          <w:szCs w:val="22"/>
        </w:rPr>
        <w:t>Lo anterior se orienta para ofrecer garantías de un debido proceso y defensa</w:t>
      </w:r>
      <w:r w:rsidR="00CF1B44">
        <w:rPr>
          <w:rFonts w:ascii="Century Gothic" w:hAnsi="Century Gothic" w:cs="Tahoma"/>
          <w:sz w:val="22"/>
          <w:szCs w:val="22"/>
        </w:rPr>
        <w:t xml:space="preserve">. Se advierte que esta </w:t>
      </w:r>
      <w:r w:rsidR="00CF1B44">
        <w:rPr>
          <w:rFonts w:ascii="Century Gothic" w:hAnsi="Century Gothic"/>
          <w:sz w:val="22"/>
          <w:szCs w:val="22"/>
        </w:rPr>
        <w:t>se considerará surtida al</w:t>
      </w:r>
      <w:r w:rsidR="007A63FD" w:rsidRPr="007A63FD">
        <w:rPr>
          <w:rFonts w:ascii="Century Gothic" w:hAnsi="Century Gothic"/>
          <w:sz w:val="22"/>
          <w:szCs w:val="22"/>
        </w:rPr>
        <w:t xml:space="preserve"> finalizar el día siguiente al retiro del aviso.</w:t>
      </w:r>
      <w:r w:rsidR="00CF1B44">
        <w:rPr>
          <w:rFonts w:ascii="Century Gothic" w:hAnsi="Century Gothic" w:cs="Tahoma"/>
          <w:sz w:val="22"/>
          <w:szCs w:val="22"/>
        </w:rPr>
        <w:t xml:space="preserve"> </w:t>
      </w:r>
      <w:r w:rsidR="007A63FD" w:rsidRPr="007A63FD">
        <w:rPr>
          <w:rFonts w:ascii="Century Gothic" w:hAnsi="Century Gothic"/>
          <w:sz w:val="22"/>
          <w:szCs w:val="22"/>
        </w:rPr>
        <w:t>En el expediente se dejará constancia de la remisión o publicación del aviso y de la fecha en que por este medio quedará surtida la notificación personal.</w:t>
      </w:r>
    </w:p>
    <w:p w:rsidR="007A63FD" w:rsidRDefault="007A63FD" w:rsidP="00A62BF1">
      <w:pPr>
        <w:contextualSpacing/>
        <w:jc w:val="both"/>
        <w:rPr>
          <w:rFonts w:ascii="Century Gothic" w:hAnsi="Century Gothic" w:cs="Tahoma"/>
          <w:sz w:val="22"/>
          <w:szCs w:val="22"/>
        </w:rPr>
      </w:pPr>
    </w:p>
    <w:p w:rsidR="00B02EC7" w:rsidRPr="00F8408F" w:rsidRDefault="00B02EC7" w:rsidP="00B02EC7">
      <w:pPr>
        <w:pStyle w:val="Ttulo3"/>
        <w:tabs>
          <w:tab w:val="left" w:pos="0"/>
        </w:tabs>
        <w:rPr>
          <w:rFonts w:ascii="Century Gothic" w:eastAsia="Times New Roman" w:hAnsi="Century Gothic"/>
          <w:b w:val="0"/>
          <w:bCs w:val="0"/>
          <w:i/>
          <w:sz w:val="18"/>
          <w:szCs w:val="18"/>
          <w:lang w:val="es-CO"/>
        </w:rPr>
      </w:pPr>
      <w:r w:rsidRPr="00F8408F">
        <w:rPr>
          <w:rFonts w:ascii="Century Gothic" w:eastAsia="Times New Roman" w:hAnsi="Century Gothic"/>
          <w:b w:val="0"/>
          <w:bCs w:val="0"/>
          <w:i/>
          <w:sz w:val="18"/>
          <w:szCs w:val="18"/>
          <w:lang w:val="es-CO"/>
        </w:rPr>
        <w:t xml:space="preserve">Dado en Manizales, a los </w:t>
      </w:r>
      <w:r>
        <w:rPr>
          <w:rFonts w:ascii="Century Gothic" w:eastAsia="Times New Roman" w:hAnsi="Century Gothic"/>
          <w:bCs w:val="0"/>
          <w:i/>
          <w:sz w:val="18"/>
          <w:szCs w:val="18"/>
          <w:lang w:val="es-CO"/>
        </w:rPr>
        <w:t>24</w:t>
      </w:r>
      <w:r w:rsidRPr="00F8408F">
        <w:rPr>
          <w:rFonts w:ascii="Century Gothic" w:eastAsia="Times New Roman" w:hAnsi="Century Gothic"/>
          <w:bCs w:val="0"/>
          <w:i/>
          <w:sz w:val="18"/>
          <w:szCs w:val="18"/>
          <w:lang w:val="es-CO"/>
        </w:rPr>
        <w:t xml:space="preserve"> días del mes de Noviembre de </w:t>
      </w:r>
      <w:r>
        <w:rPr>
          <w:rFonts w:ascii="Century Gothic" w:eastAsia="Times New Roman" w:hAnsi="Century Gothic"/>
          <w:bCs w:val="0"/>
          <w:i/>
          <w:sz w:val="18"/>
          <w:szCs w:val="18"/>
          <w:lang w:val="es-CO"/>
        </w:rPr>
        <w:t>2015</w:t>
      </w:r>
    </w:p>
    <w:p w:rsidR="00B02EC7" w:rsidRDefault="00B02EC7" w:rsidP="00B02EC7">
      <w:pPr>
        <w:pStyle w:val="Textoindependiente"/>
        <w:jc w:val="both"/>
        <w:rPr>
          <w:rFonts w:ascii="Century Gothic" w:hAnsi="Century Gothic"/>
          <w:bCs/>
          <w:i/>
          <w:sz w:val="18"/>
          <w:szCs w:val="18"/>
          <w:lang w:val="es-CO"/>
        </w:rPr>
      </w:pPr>
      <w:r w:rsidRPr="00F8408F">
        <w:rPr>
          <w:rFonts w:ascii="Century Gothic" w:hAnsi="Century Gothic"/>
          <w:bCs/>
          <w:i/>
          <w:sz w:val="18"/>
          <w:szCs w:val="18"/>
          <w:lang w:val="es-CO"/>
        </w:rPr>
        <w:t xml:space="preserve"> </w:t>
      </w:r>
    </w:p>
    <w:p w:rsidR="00B02EC7" w:rsidRDefault="00B02EC7" w:rsidP="00B02EC7">
      <w:pPr>
        <w:pStyle w:val="Textoindependiente"/>
        <w:jc w:val="both"/>
        <w:rPr>
          <w:rFonts w:ascii="Century Gothic" w:hAnsi="Century Gothic"/>
          <w:bCs/>
          <w:i/>
          <w:sz w:val="18"/>
          <w:szCs w:val="18"/>
          <w:lang w:val="es-CO"/>
        </w:rPr>
      </w:pPr>
    </w:p>
    <w:p w:rsidR="00B02EC7" w:rsidRPr="00B02EC7" w:rsidRDefault="00B02EC7" w:rsidP="00B02EC7">
      <w:pPr>
        <w:pStyle w:val="Textoindependiente"/>
        <w:jc w:val="both"/>
        <w:rPr>
          <w:rFonts w:ascii="Century Gothic" w:hAnsi="Century Gothic"/>
          <w:bCs/>
          <w:i/>
          <w:sz w:val="18"/>
          <w:szCs w:val="18"/>
          <w:lang w:val="es-CO"/>
        </w:rPr>
      </w:pPr>
    </w:p>
    <w:p w:rsidR="00B02EC7" w:rsidRPr="00F8408F" w:rsidRDefault="00B02EC7" w:rsidP="00B02EC7">
      <w:pPr>
        <w:pStyle w:val="Ttulo2"/>
        <w:tabs>
          <w:tab w:val="left" w:pos="0"/>
        </w:tabs>
        <w:spacing w:before="0"/>
        <w:rPr>
          <w:rFonts w:ascii="Century Gothic" w:eastAsia="Times New Roman" w:hAnsi="Century Gothic" w:cs="Tahoma"/>
          <w:color w:val="auto"/>
          <w:sz w:val="18"/>
          <w:szCs w:val="18"/>
          <w:lang w:val="es-CO"/>
        </w:rPr>
      </w:pPr>
      <w:r>
        <w:rPr>
          <w:rFonts w:ascii="Century Gothic" w:eastAsia="Times New Roman" w:hAnsi="Century Gothic" w:cs="Tahoma"/>
          <w:color w:val="auto"/>
          <w:sz w:val="18"/>
          <w:szCs w:val="18"/>
          <w:lang w:val="es-CO"/>
        </w:rPr>
        <w:t>ANA MARIA CARMONA DUQUE</w:t>
      </w:r>
    </w:p>
    <w:p w:rsidR="00B02EC7" w:rsidRDefault="00B02EC7" w:rsidP="00B02EC7">
      <w:pPr>
        <w:pStyle w:val="Ttulo2"/>
        <w:tabs>
          <w:tab w:val="left" w:pos="0"/>
        </w:tabs>
        <w:spacing w:before="0"/>
        <w:rPr>
          <w:rFonts w:ascii="Century Gothic" w:eastAsia="Times New Roman" w:hAnsi="Century Gothic" w:cs="Tahoma"/>
          <w:b w:val="0"/>
          <w:color w:val="auto"/>
          <w:sz w:val="18"/>
          <w:szCs w:val="18"/>
          <w:lang w:val="es-CO"/>
        </w:rPr>
      </w:pPr>
      <w:r>
        <w:rPr>
          <w:rFonts w:ascii="Century Gothic" w:eastAsia="Times New Roman" w:hAnsi="Century Gothic" w:cs="Tahoma"/>
          <w:b w:val="0"/>
          <w:color w:val="auto"/>
          <w:sz w:val="18"/>
          <w:szCs w:val="18"/>
          <w:lang w:val="es-CO"/>
        </w:rPr>
        <w:t>Profesional Universitaria</w:t>
      </w:r>
    </w:p>
    <w:p w:rsidR="00B02EC7" w:rsidRDefault="00B02EC7" w:rsidP="00B02EC7">
      <w:pPr>
        <w:pStyle w:val="Ttulo2"/>
        <w:tabs>
          <w:tab w:val="left" w:pos="0"/>
        </w:tabs>
        <w:spacing w:before="0"/>
        <w:rPr>
          <w:rFonts w:ascii="Century Gothic" w:hAnsi="Century Gothic" w:cs="Tahoma"/>
          <w:color w:val="auto"/>
          <w:sz w:val="18"/>
          <w:szCs w:val="18"/>
        </w:rPr>
      </w:pPr>
      <w:r>
        <w:rPr>
          <w:rFonts w:ascii="Century Gothic" w:eastAsia="Times New Roman" w:hAnsi="Century Gothic" w:cs="Tahoma"/>
          <w:b w:val="0"/>
          <w:color w:val="auto"/>
          <w:sz w:val="18"/>
          <w:szCs w:val="18"/>
          <w:lang w:val="es-CO"/>
        </w:rPr>
        <w:t xml:space="preserve">Inspección </w:t>
      </w:r>
      <w:r w:rsidRPr="00F8408F">
        <w:rPr>
          <w:rFonts w:ascii="Century Gothic" w:eastAsia="Times New Roman" w:hAnsi="Century Gothic" w:cs="Tahoma"/>
          <w:b w:val="0"/>
          <w:color w:val="auto"/>
          <w:sz w:val="18"/>
          <w:szCs w:val="18"/>
          <w:lang w:val="es-CO"/>
        </w:rPr>
        <w:t>Control Urbano</w:t>
      </w:r>
      <w:r w:rsidRPr="00F8408F">
        <w:rPr>
          <w:rFonts w:ascii="Century Gothic" w:hAnsi="Century Gothic" w:cs="Tahoma"/>
          <w:color w:val="auto"/>
          <w:sz w:val="18"/>
          <w:szCs w:val="18"/>
        </w:rPr>
        <w:tab/>
      </w:r>
      <w:r>
        <w:rPr>
          <w:rFonts w:ascii="Century Gothic" w:hAnsi="Century Gothic" w:cs="Tahoma"/>
          <w:color w:val="auto"/>
          <w:sz w:val="18"/>
          <w:szCs w:val="18"/>
        </w:rPr>
        <w:tab/>
      </w:r>
      <w:r>
        <w:rPr>
          <w:rFonts w:ascii="Century Gothic" w:hAnsi="Century Gothic" w:cs="Tahoma"/>
          <w:color w:val="auto"/>
          <w:sz w:val="18"/>
          <w:szCs w:val="18"/>
        </w:rPr>
        <w:tab/>
      </w:r>
      <w:r>
        <w:rPr>
          <w:rFonts w:ascii="Century Gothic" w:hAnsi="Century Gothic" w:cs="Tahoma"/>
          <w:color w:val="auto"/>
          <w:sz w:val="18"/>
          <w:szCs w:val="18"/>
        </w:rPr>
        <w:tab/>
      </w:r>
      <w:r>
        <w:rPr>
          <w:rFonts w:ascii="Century Gothic" w:hAnsi="Century Gothic" w:cs="Tahoma"/>
          <w:color w:val="auto"/>
          <w:sz w:val="18"/>
          <w:szCs w:val="18"/>
        </w:rPr>
        <w:tab/>
      </w:r>
      <w:r>
        <w:rPr>
          <w:rFonts w:ascii="Century Gothic" w:hAnsi="Century Gothic" w:cs="Tahoma"/>
          <w:color w:val="auto"/>
          <w:sz w:val="18"/>
          <w:szCs w:val="18"/>
        </w:rPr>
        <w:tab/>
      </w:r>
      <w:r>
        <w:rPr>
          <w:rFonts w:ascii="Century Gothic" w:hAnsi="Century Gothic" w:cs="Tahoma"/>
          <w:color w:val="auto"/>
          <w:sz w:val="18"/>
          <w:szCs w:val="18"/>
        </w:rPr>
        <w:tab/>
      </w:r>
      <w:r>
        <w:rPr>
          <w:rFonts w:ascii="Century Gothic" w:hAnsi="Century Gothic" w:cs="Tahoma"/>
          <w:color w:val="auto"/>
          <w:sz w:val="18"/>
          <w:szCs w:val="18"/>
        </w:rPr>
        <w:tab/>
      </w:r>
      <w:r>
        <w:rPr>
          <w:rFonts w:ascii="Century Gothic" w:hAnsi="Century Gothic" w:cs="Tahoma"/>
          <w:color w:val="auto"/>
          <w:sz w:val="18"/>
          <w:szCs w:val="18"/>
        </w:rPr>
        <w:tab/>
      </w:r>
    </w:p>
    <w:p w:rsidR="00B02EC7" w:rsidRPr="00F8408F" w:rsidRDefault="00B02EC7" w:rsidP="00B02EC7">
      <w:pPr>
        <w:pStyle w:val="Ttulo2"/>
        <w:tabs>
          <w:tab w:val="left" w:pos="0"/>
        </w:tabs>
        <w:spacing w:before="0"/>
        <w:rPr>
          <w:rFonts w:ascii="Century Gothic" w:eastAsia="Times New Roman" w:hAnsi="Century Gothic" w:cs="Tahoma"/>
          <w:b w:val="0"/>
          <w:color w:val="auto"/>
          <w:sz w:val="18"/>
          <w:szCs w:val="18"/>
          <w:lang w:val="es-CO"/>
        </w:rPr>
      </w:pPr>
      <w:r w:rsidRPr="00F8408F">
        <w:rPr>
          <w:rFonts w:ascii="Century Gothic" w:eastAsia="Times New Roman" w:hAnsi="Century Gothic" w:cs="Tahoma"/>
          <w:b w:val="0"/>
          <w:color w:val="auto"/>
          <w:sz w:val="18"/>
          <w:szCs w:val="18"/>
          <w:lang w:val="es-CO"/>
        </w:rPr>
        <w:t>Secretaría de Planeación Municipal</w:t>
      </w:r>
      <w:r w:rsidRPr="00F8408F">
        <w:rPr>
          <w:rFonts w:ascii="Century Gothic" w:hAnsi="Century Gothic" w:cs="Tahoma"/>
          <w:color w:val="auto"/>
          <w:sz w:val="18"/>
          <w:szCs w:val="18"/>
        </w:rPr>
        <w:tab/>
      </w:r>
      <w:r w:rsidRPr="00F8408F">
        <w:rPr>
          <w:rFonts w:ascii="Century Gothic" w:hAnsi="Century Gothic" w:cs="Tahoma"/>
          <w:color w:val="auto"/>
          <w:sz w:val="18"/>
          <w:szCs w:val="18"/>
        </w:rPr>
        <w:tab/>
      </w:r>
      <w:r w:rsidRPr="00F8408F">
        <w:rPr>
          <w:rFonts w:ascii="Century Gothic" w:hAnsi="Century Gothic" w:cs="Tahoma"/>
          <w:color w:val="auto"/>
          <w:sz w:val="18"/>
          <w:szCs w:val="18"/>
        </w:rPr>
        <w:tab/>
      </w:r>
    </w:p>
    <w:p w:rsidR="00B02EC7" w:rsidRDefault="00B02EC7" w:rsidP="00B02EC7">
      <w:pPr>
        <w:pStyle w:val="Textoindependiente"/>
        <w:jc w:val="both"/>
        <w:rPr>
          <w:rFonts w:ascii="Century Gothic" w:hAnsi="Century Gothic"/>
          <w:sz w:val="18"/>
          <w:szCs w:val="18"/>
          <w:lang w:val="es-CO"/>
        </w:rPr>
      </w:pPr>
    </w:p>
    <w:p w:rsidR="00B02EC7" w:rsidRDefault="00B02EC7" w:rsidP="00B02EC7">
      <w:pPr>
        <w:pStyle w:val="Textoindependiente"/>
        <w:jc w:val="both"/>
        <w:rPr>
          <w:rFonts w:ascii="Century Gothic" w:hAnsi="Century Gothic"/>
          <w:sz w:val="18"/>
          <w:szCs w:val="18"/>
          <w:lang w:val="es-CO"/>
        </w:rPr>
      </w:pPr>
    </w:p>
    <w:p w:rsidR="00B02EC7" w:rsidRPr="00F8408F" w:rsidRDefault="00B02EC7" w:rsidP="00B02EC7">
      <w:pPr>
        <w:pStyle w:val="Textoindependiente"/>
        <w:jc w:val="both"/>
        <w:rPr>
          <w:rFonts w:ascii="Century Gothic" w:hAnsi="Century Gothic"/>
          <w:sz w:val="18"/>
          <w:szCs w:val="18"/>
          <w:lang w:val="es-CO"/>
        </w:rPr>
      </w:pPr>
      <w:r w:rsidRPr="00F8408F">
        <w:rPr>
          <w:rFonts w:ascii="Century Gothic" w:hAnsi="Century Gothic"/>
          <w:sz w:val="18"/>
          <w:szCs w:val="18"/>
          <w:lang w:val="es-CO"/>
        </w:rPr>
        <w:t>Se fija el presente Edicto en lugar Público de la Secretaria de Planeación, Inspección de Control Ur</w:t>
      </w:r>
      <w:r>
        <w:rPr>
          <w:rFonts w:ascii="Century Gothic" w:hAnsi="Century Gothic"/>
          <w:sz w:val="18"/>
          <w:szCs w:val="18"/>
          <w:lang w:val="es-CO"/>
        </w:rPr>
        <w:t>bano, por el término de cinco (05</w:t>
      </w:r>
      <w:r w:rsidRPr="00F8408F">
        <w:rPr>
          <w:rFonts w:ascii="Century Gothic" w:hAnsi="Century Gothic"/>
          <w:sz w:val="18"/>
          <w:szCs w:val="18"/>
          <w:lang w:val="es-CO"/>
        </w:rPr>
        <w:t xml:space="preserve">) días hábiles, </w:t>
      </w:r>
      <w:r w:rsidRPr="00F8408F">
        <w:rPr>
          <w:rFonts w:ascii="Century Gothic" w:hAnsi="Century Gothic"/>
          <w:b/>
          <w:sz w:val="18"/>
          <w:szCs w:val="18"/>
          <w:lang w:val="es-CO"/>
        </w:rPr>
        <w:t xml:space="preserve">hoy </w:t>
      </w:r>
      <w:r>
        <w:rPr>
          <w:rFonts w:ascii="Century Gothic" w:hAnsi="Century Gothic"/>
          <w:b/>
          <w:sz w:val="18"/>
          <w:szCs w:val="18"/>
          <w:lang w:val="es-CO"/>
        </w:rPr>
        <w:t>24</w:t>
      </w:r>
      <w:r w:rsidRPr="00F8408F">
        <w:rPr>
          <w:rFonts w:ascii="Century Gothic" w:hAnsi="Century Gothic"/>
          <w:b/>
          <w:sz w:val="18"/>
          <w:szCs w:val="18"/>
          <w:lang w:val="es-CO"/>
        </w:rPr>
        <w:t xml:space="preserve">  de </w:t>
      </w:r>
      <w:r>
        <w:rPr>
          <w:rFonts w:ascii="Century Gothic" w:hAnsi="Century Gothic"/>
          <w:b/>
          <w:sz w:val="18"/>
          <w:szCs w:val="18"/>
          <w:lang w:val="es-CO"/>
        </w:rPr>
        <w:t>Noviembre de 2015 a las 7</w:t>
      </w:r>
      <w:r w:rsidRPr="00F8408F">
        <w:rPr>
          <w:rFonts w:ascii="Century Gothic" w:hAnsi="Century Gothic"/>
          <w:b/>
          <w:sz w:val="18"/>
          <w:szCs w:val="18"/>
          <w:lang w:val="es-CO"/>
        </w:rPr>
        <w:t>:30 AM</w:t>
      </w:r>
      <w:r w:rsidRPr="00F8408F">
        <w:rPr>
          <w:rFonts w:ascii="Century Gothic" w:hAnsi="Century Gothic"/>
          <w:sz w:val="18"/>
          <w:szCs w:val="18"/>
          <w:lang w:val="es-CO"/>
        </w:rPr>
        <w:t>.</w:t>
      </w:r>
    </w:p>
    <w:p w:rsidR="007A63FD" w:rsidRPr="00B02EC7" w:rsidRDefault="00B02EC7" w:rsidP="00B02EC7">
      <w:pPr>
        <w:pStyle w:val="Textoindependiente"/>
        <w:jc w:val="both"/>
        <w:rPr>
          <w:rFonts w:ascii="Century Gothic" w:hAnsi="Century Gothic"/>
          <w:sz w:val="18"/>
          <w:szCs w:val="18"/>
          <w:lang w:val="es-CO"/>
        </w:rPr>
      </w:pPr>
      <w:r w:rsidRPr="00F8408F">
        <w:rPr>
          <w:rFonts w:ascii="Century Gothic" w:hAnsi="Century Gothic"/>
          <w:sz w:val="18"/>
          <w:szCs w:val="18"/>
          <w:lang w:val="es-CO"/>
        </w:rPr>
        <w:t xml:space="preserve">Se desfija hoy _______________________________a las ___________ </w:t>
      </w:r>
      <w:r>
        <w:rPr>
          <w:rFonts w:ascii="Century Gothic" w:hAnsi="Century Gothic"/>
          <w:sz w:val="18"/>
          <w:szCs w:val="18"/>
          <w:lang w:val="es-CO"/>
        </w:rPr>
        <w:t>P.M.</w:t>
      </w:r>
    </w:p>
    <w:p w:rsidR="00EF4713" w:rsidRPr="00E64715" w:rsidRDefault="00520B5E" w:rsidP="00A62BF1">
      <w:pPr>
        <w:rPr>
          <w:rFonts w:ascii="Century Gothic" w:hAnsi="Century Gothic"/>
        </w:rPr>
      </w:pPr>
    </w:p>
    <w:sectPr w:rsidR="00EF4713" w:rsidRPr="00E64715" w:rsidSect="00B02EC7">
      <w:headerReference w:type="default" r:id="rId7"/>
      <w:footerReference w:type="default" r:id="rId8"/>
      <w:pgSz w:w="12240" w:h="15840"/>
      <w:pgMar w:top="1417" w:right="1701" w:bottom="851" w:left="1701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5E" w:rsidRDefault="00520B5E" w:rsidP="00E64715">
      <w:r>
        <w:separator/>
      </w:r>
    </w:p>
  </w:endnote>
  <w:endnote w:type="continuationSeparator" w:id="0">
    <w:p w:rsidR="00520B5E" w:rsidRDefault="00520B5E" w:rsidP="00E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46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02EC7" w:rsidRDefault="00B02EC7">
            <w:pPr>
              <w:pStyle w:val="Piedepgina"/>
              <w:jc w:val="right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03F8FEB0" wp14:editId="024F50BA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-249555</wp:posOffset>
                  </wp:positionV>
                  <wp:extent cx="6193790" cy="614045"/>
                  <wp:effectExtent l="0" t="0" r="0" b="0"/>
                  <wp:wrapThrough wrapText="bothSides">
                    <wp:wrapPolygon edited="0">
                      <wp:start x="0" y="0"/>
                      <wp:lineTo x="0" y="20774"/>
                      <wp:lineTo x="21525" y="20774"/>
                      <wp:lineTo x="21525" y="0"/>
                      <wp:lineTo x="0" y="0"/>
                    </wp:wrapPolygon>
                  </wp:wrapThrough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2EC7">
              <w:rPr>
                <w:rFonts w:ascii="Agency FB" w:hAnsi="Agency FB"/>
                <w:sz w:val="16"/>
                <w:szCs w:val="16"/>
              </w:rPr>
              <w:t xml:space="preserve">Página </w:t>
            </w:r>
            <w:r w:rsidRPr="00B02EC7">
              <w:rPr>
                <w:rFonts w:ascii="Agency FB" w:hAnsi="Agency FB"/>
                <w:b/>
                <w:bCs/>
                <w:sz w:val="16"/>
                <w:szCs w:val="16"/>
              </w:rPr>
              <w:fldChar w:fldCharType="begin"/>
            </w:r>
            <w:r w:rsidRPr="00B02EC7">
              <w:rPr>
                <w:rFonts w:ascii="Agency FB" w:hAnsi="Agency FB"/>
                <w:b/>
                <w:bCs/>
                <w:sz w:val="16"/>
                <w:szCs w:val="16"/>
              </w:rPr>
              <w:instrText>PAGE</w:instrText>
            </w:r>
            <w:r w:rsidRPr="00B02EC7">
              <w:rPr>
                <w:rFonts w:ascii="Agency FB" w:hAnsi="Agency FB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gency FB" w:hAnsi="Agency FB"/>
                <w:b/>
                <w:bCs/>
                <w:noProof/>
                <w:sz w:val="16"/>
                <w:szCs w:val="16"/>
              </w:rPr>
              <w:t>1</w:t>
            </w:r>
            <w:r w:rsidRPr="00B02EC7">
              <w:rPr>
                <w:rFonts w:ascii="Agency FB" w:hAnsi="Agency FB"/>
                <w:b/>
                <w:bCs/>
                <w:sz w:val="16"/>
                <w:szCs w:val="16"/>
              </w:rPr>
              <w:fldChar w:fldCharType="end"/>
            </w:r>
            <w:r w:rsidRPr="00B02EC7">
              <w:rPr>
                <w:rFonts w:ascii="Agency FB" w:hAnsi="Agency FB"/>
                <w:sz w:val="16"/>
                <w:szCs w:val="16"/>
              </w:rPr>
              <w:t xml:space="preserve"> de </w:t>
            </w:r>
            <w:r w:rsidRPr="00B02EC7">
              <w:rPr>
                <w:rFonts w:ascii="Agency FB" w:hAnsi="Agency FB"/>
                <w:b/>
                <w:bCs/>
                <w:sz w:val="16"/>
                <w:szCs w:val="16"/>
              </w:rPr>
              <w:fldChar w:fldCharType="begin"/>
            </w:r>
            <w:r w:rsidRPr="00B02EC7">
              <w:rPr>
                <w:rFonts w:ascii="Agency FB" w:hAnsi="Agency FB"/>
                <w:b/>
                <w:bCs/>
                <w:sz w:val="16"/>
                <w:szCs w:val="16"/>
              </w:rPr>
              <w:instrText>NUMPAGES</w:instrText>
            </w:r>
            <w:r w:rsidRPr="00B02EC7">
              <w:rPr>
                <w:rFonts w:ascii="Agency FB" w:hAnsi="Agency FB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gency FB" w:hAnsi="Agency FB"/>
                <w:b/>
                <w:bCs/>
                <w:noProof/>
                <w:sz w:val="16"/>
                <w:szCs w:val="16"/>
              </w:rPr>
              <w:t>2</w:t>
            </w:r>
            <w:r w:rsidRPr="00B02EC7">
              <w:rPr>
                <w:rFonts w:ascii="Agency FB" w:hAnsi="Agency FB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2EC7" w:rsidRDefault="00B02E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5E" w:rsidRDefault="00520B5E" w:rsidP="00E64715">
      <w:r>
        <w:separator/>
      </w:r>
    </w:p>
  </w:footnote>
  <w:footnote w:type="continuationSeparator" w:id="0">
    <w:p w:rsidR="00520B5E" w:rsidRDefault="00520B5E" w:rsidP="00E6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FD" w:rsidRDefault="007A63FD" w:rsidP="007A63FD">
    <w:pPr>
      <w:pStyle w:val="Encabezado"/>
      <w:jc w:val="center"/>
      <w:rPr>
        <w:rFonts w:ascii="Century Gothic" w:hAnsi="Century Gothic"/>
        <w:b/>
        <w:lang w:val="es-CO"/>
      </w:rPr>
    </w:pPr>
    <w:r>
      <w:rPr>
        <w:rFonts w:ascii="Century Gothic" w:hAnsi="Century Gothic"/>
        <w:b/>
        <w:lang w:val="es-CO"/>
      </w:rPr>
      <w:t>AVISO</w:t>
    </w:r>
  </w:p>
  <w:p w:rsidR="00E64715" w:rsidRPr="00985146" w:rsidRDefault="007D51EB" w:rsidP="007A63FD">
    <w:pPr>
      <w:pStyle w:val="Encabezado"/>
      <w:jc w:val="center"/>
      <w:rPr>
        <w:rFonts w:ascii="Century Gothic" w:hAnsi="Century Gothic"/>
        <w:b/>
        <w:lang w:val="es-CO"/>
      </w:rPr>
    </w:pPr>
    <w:r>
      <w:rPr>
        <w:rFonts w:ascii="Century Gothic" w:hAnsi="Century Gothic"/>
        <w:b/>
        <w:lang w:val="es-CO"/>
      </w:rPr>
      <w:t>ART 69 LEY 1437-2011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5"/>
    <w:rsid w:val="00044E9C"/>
    <w:rsid w:val="000D4658"/>
    <w:rsid w:val="001C5CCF"/>
    <w:rsid w:val="001F5B24"/>
    <w:rsid w:val="002A2015"/>
    <w:rsid w:val="002C3F58"/>
    <w:rsid w:val="003D50E4"/>
    <w:rsid w:val="004167CA"/>
    <w:rsid w:val="00486FBD"/>
    <w:rsid w:val="00520B5E"/>
    <w:rsid w:val="006B5AB8"/>
    <w:rsid w:val="006C2CDA"/>
    <w:rsid w:val="007A63FD"/>
    <w:rsid w:val="007B55AB"/>
    <w:rsid w:val="007D51EB"/>
    <w:rsid w:val="00867579"/>
    <w:rsid w:val="009231D3"/>
    <w:rsid w:val="00982A5E"/>
    <w:rsid w:val="00985146"/>
    <w:rsid w:val="009D5117"/>
    <w:rsid w:val="00A62BF1"/>
    <w:rsid w:val="00B02EC7"/>
    <w:rsid w:val="00B527CE"/>
    <w:rsid w:val="00B55C82"/>
    <w:rsid w:val="00BE574C"/>
    <w:rsid w:val="00C848A4"/>
    <w:rsid w:val="00CF1B44"/>
    <w:rsid w:val="00E3751C"/>
    <w:rsid w:val="00E64715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B02EC7"/>
    <w:pPr>
      <w:keepNext/>
      <w:autoSpaceDN w:val="0"/>
      <w:jc w:val="both"/>
      <w:textAlignment w:val="baseline"/>
      <w:outlineLvl w:val="2"/>
    </w:pPr>
    <w:rPr>
      <w:rFonts w:ascii="Tahoma" w:eastAsia="Batang, 바탕" w:hAnsi="Tahoma" w:cs="Tahoma"/>
      <w:b/>
      <w:bCs/>
      <w:kern w:val="3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customStyle="1" w:styleId="apple-converted-space">
    <w:name w:val="apple-converted-space"/>
    <w:basedOn w:val="Fuentedeprrafopredeter"/>
    <w:rsid w:val="002A2015"/>
  </w:style>
  <w:style w:type="character" w:styleId="Hipervnculo">
    <w:name w:val="Hyperlink"/>
    <w:basedOn w:val="Fuentedeprrafopredeter"/>
    <w:uiPriority w:val="99"/>
    <w:semiHidden/>
    <w:unhideWhenUsed/>
    <w:rsid w:val="002A201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02E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02EC7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02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B02EC7"/>
    <w:rPr>
      <w:rFonts w:ascii="Tahoma" w:eastAsia="Batang, 바탕" w:hAnsi="Tahoma" w:cs="Tahoma"/>
      <w:b/>
      <w:bCs/>
      <w:kern w:val="3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EC7"/>
    <w:rPr>
      <w:rFonts w:ascii="Tahoma" w:eastAsia="Batang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B02EC7"/>
    <w:pPr>
      <w:keepNext/>
      <w:autoSpaceDN w:val="0"/>
      <w:jc w:val="both"/>
      <w:textAlignment w:val="baseline"/>
      <w:outlineLvl w:val="2"/>
    </w:pPr>
    <w:rPr>
      <w:rFonts w:ascii="Tahoma" w:eastAsia="Batang, 바탕" w:hAnsi="Tahoma" w:cs="Tahoma"/>
      <w:b/>
      <w:bCs/>
      <w:kern w:val="3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customStyle="1" w:styleId="apple-converted-space">
    <w:name w:val="apple-converted-space"/>
    <w:basedOn w:val="Fuentedeprrafopredeter"/>
    <w:rsid w:val="002A2015"/>
  </w:style>
  <w:style w:type="character" w:styleId="Hipervnculo">
    <w:name w:val="Hyperlink"/>
    <w:basedOn w:val="Fuentedeprrafopredeter"/>
    <w:uiPriority w:val="99"/>
    <w:semiHidden/>
    <w:unhideWhenUsed/>
    <w:rsid w:val="002A201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02E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02EC7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02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B02EC7"/>
    <w:rPr>
      <w:rFonts w:ascii="Tahoma" w:eastAsia="Batang, 바탕" w:hAnsi="Tahoma" w:cs="Tahoma"/>
      <w:b/>
      <w:bCs/>
      <w:kern w:val="3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EC7"/>
    <w:rPr>
      <w:rFonts w:ascii="Tahoma" w:eastAsia="Batang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Carmona Duque</dc:creator>
  <cp:lastModifiedBy>Ana Maria Carmona Duque</cp:lastModifiedBy>
  <cp:revision>4</cp:revision>
  <cp:lastPrinted>2015-11-30T18:00:00Z</cp:lastPrinted>
  <dcterms:created xsi:type="dcterms:W3CDTF">2015-11-30T17:01:00Z</dcterms:created>
  <dcterms:modified xsi:type="dcterms:W3CDTF">2015-11-30T18:06:00Z</dcterms:modified>
</cp:coreProperties>
</file>