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jc w:val="both"/>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EL ALCALDE  DE MANIZALES, de conformidad con los artículos 37 y 73 de la Ley 1437 de 2011, dando cumplimiento al artículo  7º de la Resolución  Nº 1843 de octubre 10 de 2018, procede a publicar en la página electrónica de la Alcaldía Municipal, la parte Resolutiva  del citado acto administrativo:</w:t>
      </w:r>
    </w:p>
    <w:p>
      <w:pPr>
        <w:rPr>
          <w:lang w:val="es-ES"/>
        </w:rPr>
      </w:pPr>
    </w:p>
    <w:p>
      <w:pPr>
        <w:suppressAutoHyphens/>
        <w:jc w:val="cente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RESUELVE:</w:t>
      </w:r>
    </w:p>
    <w:p>
      <w:pPr>
        <w:suppressAutoHyphens/>
        <w:jc w:val="cente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1°:</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DECLARAR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en estado de ruina e inminente peligro</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el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inmueble</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identificado con la ficha catastral Nº.</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0103000008920019000000000 (1-03-0892-0019-0000)</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y con folio de matrícula inmobiliaria Nº. 100–</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46431</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de propiedad de</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l señor </w:t>
      </w: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 xml:space="preserve"> RUBÉN DARÍO URIBE GIRALDO</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ubicado en la</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 calle 51 Nº 5 C - 01, barrio Solferino</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en jurisdicción del Municipio de Manizales. </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2°:</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el desalojo inmediato de las personas que se encuentren ocupando el bien inmueble de que trata el artículo 1°.</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3°:</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la demolición y el retiro de los escombros</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de</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l bien inmueble</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identificado con la ficha</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catastral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N</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º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0103000008920019000000000 (1-03-0892-0019-0000)</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 y con folio de matrícula inmobiliaria Nº. 100–</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46431</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de propiedad </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del señor </w:t>
      </w: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RUBÉN DARÍO URIBE GIRALDO</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ubicado en la</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 calle 51 Nº 5 C - 01, barrio Solferino</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en jurisdicción del Municipio de Man</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izales</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w:t>
      </w:r>
      <w:r>
        <w:rPr>
          <w:rFonts w:ascii="Arial Narrow" w:hAnsi="Arial Narrow" w:eastAsia="Calibri"/>
          <w:sz w:val="21"/>
          <w:szCs w:val="21"/>
          <w:lang w:val="es-CO" w:eastAsia="en-US"/>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dentro de los cinco (05) días siguientes al desalojo del inmueble, atendiendo las medidas técnicas, preventivas y de seguridad con el fin de evitar daños a terceros. El retiro de los escombros tendrá disposición final en las escombreras legalmente establecidas. </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ind w:left="40"/>
        <w:jc w:val="both"/>
        <w:rPr>
          <w:rFonts w:ascii="Arial Narrow" w:hAnsi="Arial Narrow" w:eastAsia="Calibri" w:cs="Tahoma"/>
          <w:b/>
          <w:sz w:val="21"/>
          <w:szCs w:val="21"/>
          <w:lang w:val="es-CO"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4°:</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b/>
          <w:bCs/>
          <w:sz w:val="21"/>
          <w:szCs w:val="21"/>
          <w14:shadow w14:blurRad="50800" w14:dist="38100" w14:dir="2700000" w14:sx="100000" w14:sy="100000" w14:kx="0" w14:ky="0" w14:algn="tl">
            <w14:srgbClr w14:val="000000">
              <w14:alpha w14:val="60000"/>
            </w14:srgbClr>
          </w14:shadow>
        </w:rPr>
        <w:t xml:space="preserve">ORDENAR </w:t>
      </w:r>
      <w:r>
        <w:rPr>
          <w:rFonts w:ascii="Arial Narrow" w:hAnsi="Arial Narrow" w:cs="Tahoma"/>
          <w:bCs/>
          <w:sz w:val="21"/>
          <w:szCs w:val="21"/>
          <w14:shadow w14:blurRad="50800" w14:dist="38100" w14:dir="2700000" w14:sx="100000" w14:sy="100000" w14:kx="0" w14:ky="0" w14:algn="tl">
            <w14:srgbClr w14:val="000000">
              <w14:alpha w14:val="60000"/>
            </w14:srgbClr>
          </w14:shadow>
        </w:rPr>
        <w:t>el cerramiento del lote</w:t>
      </w:r>
      <w:r>
        <w:rPr>
          <w:rFonts w:ascii="Arial Narrow" w:hAnsi="Arial Narrow" w:cs="Tahoma"/>
          <w:b/>
          <w:bCs/>
          <w:sz w:val="21"/>
          <w:szCs w:val="21"/>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 xml:space="preserve">dentro de los quince (15) días siguientes a la demolición total del mismo, que deberá realizarse de conformidad con el Acuerdo </w:t>
      </w:r>
      <w:r>
        <w:rPr>
          <w:rFonts w:ascii="Arial Narrow" w:hAnsi="Arial Narrow" w:cs="Tahoma"/>
          <w:sz w:val="21"/>
          <w:szCs w:val="21"/>
          <w:lang w:val="es-ES"/>
          <w14:shadow w14:blurRad="50800" w14:dist="38100" w14:dir="2700000" w14:sx="100000" w14:sy="100000" w14:kx="0" w14:ky="0" w14:algn="tl">
            <w14:srgbClr w14:val="000000">
              <w14:alpha w14:val="60000"/>
            </w14:srgbClr>
          </w14:shadow>
        </w:rPr>
        <w:t xml:space="preserve">958 de 2017 -POT-Anexo Normas Generales, numeral 2 del artículo 1.2.1.3.2.1, Cerramiento de lotes: </w:t>
      </w:r>
      <w:r>
        <w:rPr>
          <w:rFonts w:ascii="Arial Narrow" w:hAnsi="Arial Narrow" w:cs="Tahoma"/>
          <w:sz w:val="21"/>
          <w:szCs w:val="21"/>
          <w14:shadow w14:blurRad="50800" w14:dist="38100" w14:dir="2700000" w14:sx="100000" w14:sy="100000" w14:kx="0" w14:ky="0" w14:algn="tl">
            <w14:srgbClr w14:val="000000">
              <w14:alpha w14:val="60000"/>
            </w14:srgbClr>
          </w14:shadow>
        </w:rPr>
        <w:t>a una altura mínima de 2.30 metros, ubicado en el paramento oficial y construido en materiales que garanticen seguridad y buen aspecto para la ciudad.</w:t>
      </w:r>
    </w:p>
    <w:p>
      <w:pPr>
        <w:suppressAutoHyphens/>
        <w:ind w:left="2100" w:hanging="2060"/>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suppressAutoHyphens/>
        <w:ind w:firstLine="40"/>
        <w:jc w:val="both"/>
        <w:rPr>
          <w:rFonts w:ascii="Arial Narrow" w:hAnsi="Arial Narrow" w:cs="Tahoma"/>
          <w:sz w:val="21"/>
          <w:szCs w:val="21"/>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Parágrafo:</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E</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n caso de no cumplirse con lo ordenado</w:t>
      </w:r>
      <w:r>
        <w:rPr>
          <w:rFonts w:ascii="Arial Narrow" w:hAnsi="Arial Narrow" w:eastAsia="Calibri" w:cs="Tahoma"/>
          <w:b/>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 xml:space="preserve">la demolición, el retiro de los escombros y el cerramiento del lote se llevará a cabo por la Administración Municipal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Secretaría de Obras Públicas a costa de los  implicados, costo que se hará efectivo con un recargo del (10%) adicional como gastos de administración, que se incluirán en la respectiva factura del impuesto predial, pudiendo cobrarse por Jurisdicción Coactiva si es del caso, sin perjuicio de las demás sanciones establecidas por infracción a normas urbanísticas.</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Arial" w:cs="Arial"/>
          <w:sz w:val="21"/>
          <w:szCs w:val="21"/>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5°: NOTIFICA</w:t>
      </w:r>
      <w:r>
        <w:rPr>
          <w:rFonts w:ascii="Arial Narrow" w:hAnsi="Arial Narrow" w:eastAsia="Arial" w:cs="Arial"/>
          <w:b/>
          <w:bCs/>
          <w:sz w:val="21"/>
          <w:szCs w:val="21"/>
          <w14:shadow w14:blurRad="50800" w14:dist="38100" w14:dir="2700000" w14:sx="100000" w14:sy="100000" w14:kx="0" w14:ky="0" w14:algn="tl">
            <w14:srgbClr w14:val="000000">
              <w14:alpha w14:val="60000"/>
            </w14:srgbClr>
          </w14:shadow>
        </w:rPr>
        <w:t xml:space="preserve">R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personalmente, en los términos de los artículos 67 y siguientes del CPACA, p</w:t>
      </w:r>
      <w:r>
        <w:rPr>
          <w:rFonts w:ascii="Arial Narrow" w:hAnsi="Arial Narrow" w:cs="Arial"/>
          <w:sz w:val="21"/>
          <w:szCs w:val="21"/>
          <w14:shadow w14:blurRad="50800" w14:dist="38100" w14:dir="2700000" w14:sx="100000" w14:sy="100000" w14:kx="0" w14:ky="0" w14:algn="tl">
            <w14:srgbClr w14:val="000000">
              <w14:alpha w14:val="60000"/>
            </w14:srgbClr>
          </w14:shadow>
        </w:rPr>
        <w:t xml:space="preserve">or la Oficina de Control Urbano,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la presente decisión a</w:t>
      </w:r>
      <w:r>
        <w:rPr>
          <w:rFonts w:ascii="Arial Narrow" w:hAnsi="Arial Narrow" w:eastAsia="Arial" w:cs="Arial"/>
          <w:sz w:val="21"/>
          <w:szCs w:val="21"/>
          <w:lang w:val="es-ES"/>
          <w14:shadow w14:blurRad="50800" w14:dist="38100" w14:dir="2700000" w14:sx="100000" w14:sy="100000" w14:kx="0" w14:ky="0" w14:algn="tl">
            <w14:srgbClr w14:val="000000">
              <w14:alpha w14:val="60000"/>
            </w14:srgbClr>
          </w14:shadow>
        </w:rPr>
        <w:t xml:space="preserve">l señor </w:t>
      </w:r>
      <w:r>
        <w:rPr>
          <w:rFonts w:ascii="Arial Narrow" w:hAnsi="Arial Narrow" w:eastAsia="Arial" w:cs="Arial"/>
          <w:b/>
          <w:bCs/>
          <w:sz w:val="21"/>
          <w:szCs w:val="21"/>
          <w:lang w:val="es-ES"/>
          <w14:shadow w14:blurRad="50800" w14:dist="38100" w14:dir="2700000" w14:sx="100000" w14:sy="100000" w14:kx="0" w14:ky="0" w14:algn="tl">
            <w14:srgbClr w14:val="000000">
              <w14:alpha w14:val="60000"/>
            </w14:srgbClr>
          </w14:shadow>
        </w:rPr>
        <w:t>RUBÉN DARIO URIBE GIRALDO</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en su calidad de propietari</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o</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del inmueble, y a las demás personas indeterminadas.</w:t>
      </w:r>
      <w:r>
        <w:rPr>
          <w:rFonts w:ascii="Arial Narrow" w:hAnsi="Arial Narrow"/>
          <w:sz w:val="21"/>
          <w:szCs w:val="21"/>
          <w14:shadow w14:blurRad="50800" w14:dist="38100" w14:dir="2700000" w14:sx="100000" w14:sy="100000" w14:kx="0" w14:ky="0" w14:algn="tl">
            <w14:srgbClr w14:val="000000">
              <w14:alpha w14:val="60000"/>
            </w14:srgbClr>
          </w14:shadow>
        </w:rPr>
        <w:t xml:space="preserve">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 xml:space="preserve">Para tal efecto, líbrese la respectiva comunicación. </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6°: RECURSOS.</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En el acto de la notificación, habrá de indicarse que contra la presente resolución procede el recurso de reposición de que trata el </w:t>
      </w:r>
      <w:r>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t>artículo 76 de la Ley 1437 de 2011, que deberá presentarse por escrito ante el señor Alcalde, dentro de los diez (10) días siguientes a la notificación de la misma o a la notificación por aviso o al vencimiento del término de publicación según el caso.</w:t>
      </w: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7°:</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la publicación de la parte resolutiva del presente acto en la página electrónica del Municipio de Manizales, como está dispuesto en el artículo 73 de la Ley 1437 de 2011. </w:t>
      </w: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suppressAutoHyphens/>
        <w:jc w:val="cente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pPr>
      <w:r>
        <w:rPr>
          <w:rFonts w:ascii="Arial Narrow" w:hAnsi="Arial Narrow"/>
          <w:b/>
          <w:bCs/>
          <w:sz w:val="21"/>
          <w:szCs w:val="21"/>
          <w14:shadow w14:blurRad="50800" w14:dist="38100" w14:dir="2700000" w14:sx="100000" w14:sy="100000" w14:kx="0" w14:ky="0" w14:algn="tl">
            <w14:srgbClr w14:val="000000">
              <w14:alpha w14:val="60000"/>
            </w14:srgbClr>
          </w14:shadow>
        </w:rPr>
        <w:t>PUBLÍQUESE, NOTIFÍQUESE, Y CÚMPLASE</w:t>
      </w:r>
      <w:bookmarkStart w:id="0" w:name="_GoBack"/>
      <w:bookmarkEnd w:id="0"/>
    </w:p>
    <w:sectPr>
      <w:headerReference r:id="rId3" w:type="default"/>
      <w:pgSz w:w="12240" w:h="15840"/>
      <w:pgMar w:top="1417" w:right="1701" w:bottom="2127" w:left="1701" w:header="1587" w:footer="198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Lucida Sans Unicode">
    <w:panose1 w:val="020B0602030504020204"/>
    <w:charset w:val="00"/>
    <w:family w:val="swiss"/>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0000009F" w:csb1="00000000"/>
  </w:font>
  <w:font w:name="Batang">
    <w:panose1 w:val="02030600000101010101"/>
    <w:charset w:val="81"/>
    <w:family w:val="auto"/>
    <w:pitch w:val="default"/>
    <w:sig w:usb0="B00002AF" w:usb1="69D77CFB" w:usb2="00000030" w:usb3="00000000" w:csb0="4008009F" w:csb1="DFD70000"/>
  </w:font>
  <w:font w:name="Arial Narrow">
    <w:altName w:val="Arial"/>
    <w:panose1 w:val="020B060602020203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es-ES" w:eastAsia="es-ES"/>
      </w:rPr>
      <w:drawing>
        <wp:anchor distT="0" distB="0" distL="114300" distR="114300" simplePos="0" relativeHeight="251658240" behindDoc="1" locked="0" layoutInCell="1" allowOverlap="1">
          <wp:simplePos x="0" y="0"/>
          <wp:positionH relativeFrom="column">
            <wp:posOffset>-1067435</wp:posOffset>
          </wp:positionH>
          <wp:positionV relativeFrom="paragraph">
            <wp:posOffset>-1007745</wp:posOffset>
          </wp:positionV>
          <wp:extent cx="7773670" cy="100603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773655" cy="10060024"/>
                  </a:xfrm>
                  <a:prstGeom prst="rect">
                    <a:avLst/>
                  </a:prstGeom>
                  <a:noFill/>
                  <a:ln>
                    <a:noFill/>
                  </a:ln>
                </pic:spPr>
              </pic:pic>
            </a:graphicData>
          </a:graphic>
        </wp:anchor>
      </w:drawing>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20433"/>
    <w:rsid w:val="0002467D"/>
    <w:rsid w:val="00027A13"/>
    <w:rsid w:val="000340AC"/>
    <w:rsid w:val="00040971"/>
    <w:rsid w:val="0006032A"/>
    <w:rsid w:val="00075D0F"/>
    <w:rsid w:val="00084F4F"/>
    <w:rsid w:val="000F4BAD"/>
    <w:rsid w:val="00131DBA"/>
    <w:rsid w:val="001453F6"/>
    <w:rsid w:val="00163176"/>
    <w:rsid w:val="001D07FE"/>
    <w:rsid w:val="001F02BE"/>
    <w:rsid w:val="00274203"/>
    <w:rsid w:val="002832A7"/>
    <w:rsid w:val="002C59DB"/>
    <w:rsid w:val="002F6CFB"/>
    <w:rsid w:val="00343BBA"/>
    <w:rsid w:val="00352318"/>
    <w:rsid w:val="0045459E"/>
    <w:rsid w:val="00470275"/>
    <w:rsid w:val="004D776C"/>
    <w:rsid w:val="004E6A9C"/>
    <w:rsid w:val="0053718F"/>
    <w:rsid w:val="005639F5"/>
    <w:rsid w:val="005D2787"/>
    <w:rsid w:val="005F2D6E"/>
    <w:rsid w:val="00651346"/>
    <w:rsid w:val="00655050"/>
    <w:rsid w:val="00693BEC"/>
    <w:rsid w:val="006A65BA"/>
    <w:rsid w:val="006E15A4"/>
    <w:rsid w:val="006E4EE2"/>
    <w:rsid w:val="006F4AA7"/>
    <w:rsid w:val="00702218"/>
    <w:rsid w:val="00723A79"/>
    <w:rsid w:val="007762E1"/>
    <w:rsid w:val="007A1972"/>
    <w:rsid w:val="00821DF9"/>
    <w:rsid w:val="00822716"/>
    <w:rsid w:val="00830CB9"/>
    <w:rsid w:val="008507DF"/>
    <w:rsid w:val="00880996"/>
    <w:rsid w:val="008E0C28"/>
    <w:rsid w:val="009A2DE6"/>
    <w:rsid w:val="009D7ED6"/>
    <w:rsid w:val="00A15E2B"/>
    <w:rsid w:val="00A442C3"/>
    <w:rsid w:val="00A53F90"/>
    <w:rsid w:val="00BD144C"/>
    <w:rsid w:val="00BD7002"/>
    <w:rsid w:val="00C24322"/>
    <w:rsid w:val="00C6120D"/>
    <w:rsid w:val="00CA604E"/>
    <w:rsid w:val="00CD40E9"/>
    <w:rsid w:val="00D158B3"/>
    <w:rsid w:val="00D160D0"/>
    <w:rsid w:val="00D1695F"/>
    <w:rsid w:val="00D225E5"/>
    <w:rsid w:val="00D53A64"/>
    <w:rsid w:val="00DC0523"/>
    <w:rsid w:val="00DE08BC"/>
    <w:rsid w:val="00E20189"/>
    <w:rsid w:val="00E3105D"/>
    <w:rsid w:val="00E45E0A"/>
    <w:rsid w:val="00E50334"/>
    <w:rsid w:val="00E71B43"/>
    <w:rsid w:val="00E82E29"/>
    <w:rsid w:val="00EC6C6A"/>
    <w:rsid w:val="00EE0F74"/>
    <w:rsid w:val="00F3711B"/>
    <w:rsid w:val="00F40EE6"/>
    <w:rsid w:val="00FB7E2D"/>
    <w:rsid w:val="00FD00A5"/>
    <w:rsid w:val="00FD2876"/>
    <w:rsid w:val="07B23914"/>
    <w:rsid w:val="0A6838A3"/>
    <w:rsid w:val="13AA5F04"/>
    <w:rsid w:val="15611470"/>
    <w:rsid w:val="18617FCF"/>
    <w:rsid w:val="1D297F18"/>
    <w:rsid w:val="21EE7EC7"/>
    <w:rsid w:val="26037FE1"/>
    <w:rsid w:val="260D0394"/>
    <w:rsid w:val="27913C23"/>
    <w:rsid w:val="2BA52845"/>
    <w:rsid w:val="37846522"/>
    <w:rsid w:val="3B014D8D"/>
    <w:rsid w:val="3BF63E57"/>
    <w:rsid w:val="40655F8C"/>
    <w:rsid w:val="414C6A03"/>
    <w:rsid w:val="43C97899"/>
    <w:rsid w:val="43CC50C7"/>
    <w:rsid w:val="48D62CD8"/>
    <w:rsid w:val="52B020C9"/>
    <w:rsid w:val="598B5A6D"/>
    <w:rsid w:val="5D142D4E"/>
    <w:rsid w:val="6C9A7677"/>
    <w:rsid w:val="6D9205E8"/>
    <w:rsid w:val="6E2922CC"/>
    <w:rsid w:val="73D2750D"/>
    <w:rsid w:val="756E3F1F"/>
    <w:rsid w:val="76071F21"/>
    <w:rsid w:val="7ED40784"/>
    <w:rsid w:val="7F105C3D"/>
    <w:rsid w:val="7F940465"/>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rPr>
      <w:rFonts w:asciiTheme="minorHAnsi" w:hAnsiTheme="minorHAnsi" w:eastAsiaTheme="minorHAnsi" w:cstheme="minorBidi"/>
      <w:sz w:val="24"/>
      <w:szCs w:val="24"/>
      <w:lang w:eastAsia="en-US" w:bidi="ar-SA"/>
    </w:rPr>
  </w:style>
  <w:style w:type="paragraph" w:styleId="2">
    <w:name w:val="heading 5"/>
    <w:basedOn w:val="1"/>
    <w:next w:val="1"/>
    <w:semiHidden/>
    <w:unhideWhenUsed/>
    <w:qFormat/>
    <w:uiPriority w:val="9"/>
    <w:pPr>
      <w:keepNext/>
      <w:tabs>
        <w:tab w:val="left" w:pos="0"/>
        <w:tab w:val="left" w:pos="6750"/>
      </w:tabs>
      <w:suppressAutoHyphens/>
      <w:jc w:val="both"/>
      <w:outlineLvl w:val="4"/>
    </w:pPr>
    <w:rPr>
      <w:rFonts w:ascii="Arial" w:hAnsi="Arial" w:eastAsia="Lucida Sans Unicode" w:cs="Times New Roman"/>
      <w:b/>
      <w:sz w:val="20"/>
      <w:lang w:val="es-ES" w:eastAsia="ar-SA"/>
    </w:rPr>
  </w:style>
  <w:style w:type="paragraph" w:styleId="3">
    <w:name w:val="heading 6"/>
    <w:basedOn w:val="1"/>
    <w:next w:val="1"/>
    <w:semiHidden/>
    <w:unhideWhenUsed/>
    <w:qFormat/>
    <w:uiPriority w:val="9"/>
    <w:pPr>
      <w:keepNext/>
      <w:tabs>
        <w:tab w:val="left" w:pos="0"/>
        <w:tab w:val="left" w:pos="8735"/>
      </w:tabs>
      <w:suppressAutoHyphens/>
      <w:autoSpaceDE w:val="0"/>
      <w:spacing w:line="100" w:lineRule="atLeast"/>
      <w:jc w:val="center"/>
      <w:outlineLvl w:val="5"/>
    </w:pPr>
    <w:rPr>
      <w:rFonts w:ascii="Century Gothic" w:hAnsi="Century Gothic" w:eastAsia="Lucida Sans Unicode" w:cs="Arial"/>
      <w:b/>
      <w:bCs/>
      <w:lang w:val="es-ES" w:eastAsia="ar-SA"/>
    </w:rPr>
  </w:style>
  <w:style w:type="paragraph" w:styleId="4">
    <w:name w:val="heading 9"/>
    <w:basedOn w:val="1"/>
    <w:next w:val="1"/>
    <w:semiHidden/>
    <w:unhideWhenUsed/>
    <w:qFormat/>
    <w:uiPriority w:val="9"/>
    <w:pPr>
      <w:keepNext/>
      <w:tabs>
        <w:tab w:val="left" w:pos="0"/>
      </w:tabs>
      <w:suppressAutoHyphens/>
      <w:jc w:val="both"/>
      <w:outlineLvl w:val="8"/>
    </w:pPr>
    <w:rPr>
      <w:rFonts w:ascii="Arial" w:hAnsi="Arial" w:eastAsia="Batang" w:cs="Times New Roman"/>
      <w:b/>
      <w:sz w:val="28"/>
      <w:lang w:val="es-ES" w:eastAsia="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5">
    <w:name w:val="header"/>
    <w:basedOn w:val="1"/>
    <w:link w:val="9"/>
    <w:unhideWhenUsed/>
    <w:qFormat/>
    <w:uiPriority w:val="99"/>
    <w:pPr>
      <w:tabs>
        <w:tab w:val="center" w:pos="4252"/>
        <w:tab w:val="right" w:pos="8504"/>
      </w:tabs>
    </w:pPr>
  </w:style>
  <w:style w:type="paragraph" w:styleId="6">
    <w:name w:val="footer"/>
    <w:basedOn w:val="1"/>
    <w:link w:val="10"/>
    <w:unhideWhenUsed/>
    <w:qFormat/>
    <w:uiPriority w:val="99"/>
    <w:pPr>
      <w:tabs>
        <w:tab w:val="center" w:pos="4252"/>
        <w:tab w:val="right" w:pos="8504"/>
      </w:tabs>
    </w:pPr>
  </w:style>
  <w:style w:type="character" w:customStyle="1" w:styleId="9">
    <w:name w:val="Encabezado Car"/>
    <w:basedOn w:val="7"/>
    <w:link w:val="5"/>
    <w:qFormat/>
    <w:uiPriority w:val="99"/>
  </w:style>
  <w:style w:type="character" w:customStyle="1" w:styleId="10">
    <w:name w:val="Pie de página Car"/>
    <w:basedOn w:val="7"/>
    <w:link w:val="6"/>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337</Words>
  <Characters>1859</Characters>
  <Lines>15</Lines>
  <Paragraphs>4</Paragraphs>
  <ScaleCrop>false</ScaleCrop>
  <LinksUpToDate>false</LinksUpToDate>
  <CharactersWithSpaces>2192</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2017-02-22T21:58:00Z</dcterms:created>
  <dc:creator>Usuario de Microsoft Office</dc:creator>
  <cp:lastModifiedBy>lmuñozsa</cp:lastModifiedBy>
  <cp:lastPrinted>2018-09-05T19:48:00Z</cp:lastPrinted>
  <dcterms:modified xsi:type="dcterms:W3CDTF">2018-10-30T22:13:04Z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2058-10.2.0.6020</vt:lpwstr>
  </property>
</Properties>
</file>