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8C42B4" w:rsidRPr="008C42B4" w:rsidTr="008C42B4">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8C42B4" w:rsidRPr="008C42B4">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00" cy="1409700"/>
                        <wp:effectExtent l="0" t="0" r="0" b="0"/>
                        <wp:docPr id="61" name="Imagen 61" descr="https://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right"/>
                    <w:rPr>
                      <w:rFonts w:ascii="Calibri" w:eastAsia="Times New Roman" w:hAnsi="Calibri" w:cs="Times New Roman"/>
                      <w:b/>
                      <w:bCs/>
                      <w:caps/>
                      <w:color w:val="000000"/>
                      <w:sz w:val="24"/>
                      <w:szCs w:val="24"/>
                      <w:lang w:eastAsia="es-ES"/>
                    </w:rPr>
                  </w:pPr>
                  <w:r w:rsidRPr="008C42B4">
                    <w:rPr>
                      <w:rFonts w:ascii="Calibri" w:eastAsia="Times New Roman" w:hAnsi="Calibri" w:cs="Times New Roman"/>
                      <w:b/>
                      <w:bCs/>
                      <w:caps/>
                      <w:color w:val="000000"/>
                      <w:sz w:val="24"/>
                      <w:szCs w:val="24"/>
                      <w:lang w:eastAsia="es-ES"/>
                    </w:rPr>
                    <w:t>PROCEDIMIENTO</w:t>
                  </w:r>
                </w:p>
              </w:tc>
            </w:tr>
            <w:tr w:rsidR="008C42B4" w:rsidRPr="008C42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right"/>
                    <w:rPr>
                      <w:rFonts w:ascii="Calibri" w:eastAsia="Times New Roman" w:hAnsi="Calibri" w:cs="Times New Roman"/>
                      <w:b/>
                      <w:bCs/>
                      <w:caps/>
                      <w:color w:val="000000"/>
                      <w:sz w:val="24"/>
                      <w:szCs w:val="24"/>
                      <w:lang w:eastAsia="es-ES"/>
                    </w:rPr>
                  </w:pPr>
                  <w:bookmarkStart w:id="0" w:name="_GoBack"/>
                  <w:r w:rsidRPr="008C42B4">
                    <w:rPr>
                      <w:rFonts w:ascii="Calibri" w:eastAsia="Times New Roman" w:hAnsi="Calibri" w:cs="Times New Roman"/>
                      <w:b/>
                      <w:bCs/>
                      <w:caps/>
                      <w:color w:val="000000"/>
                      <w:sz w:val="24"/>
                      <w:szCs w:val="24"/>
                      <w:lang w:eastAsia="es-ES"/>
                    </w:rPr>
                    <w:t>FORMULACIÓN, ADOPCIÓN O ADAPTACIÓN DE POLITICAS PÚBLICAS</w:t>
                  </w:r>
                  <w:bookmarkEnd w:id="0"/>
                </w:p>
              </w:tc>
            </w:tr>
            <w:tr w:rsidR="008C42B4" w:rsidRPr="008C42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right"/>
                    <w:rPr>
                      <w:rFonts w:ascii="Calibri" w:eastAsia="Times New Roman" w:hAnsi="Calibri" w:cs="Times New Roman"/>
                      <w:b/>
                      <w:bCs/>
                      <w:caps/>
                      <w:color w:val="000000"/>
                      <w:sz w:val="24"/>
                      <w:szCs w:val="24"/>
                      <w:lang w:eastAsia="es-ES"/>
                    </w:rPr>
                  </w:pPr>
                  <w:r w:rsidRPr="008C42B4">
                    <w:rPr>
                      <w:rFonts w:ascii="Calibri" w:eastAsia="Times New Roman" w:hAnsi="Calibri" w:cs="Times New Roman"/>
                      <w:b/>
                      <w:bCs/>
                      <w:caps/>
                      <w:color w:val="000000"/>
                      <w:sz w:val="24"/>
                      <w:szCs w:val="24"/>
                      <w:lang w:eastAsia="es-ES"/>
                    </w:rPr>
                    <w:t>VERSIÓN 3</w:t>
                  </w:r>
                </w:p>
              </w:tc>
            </w:tr>
            <w:tr w:rsidR="008C42B4" w:rsidRPr="008C42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right"/>
                    <w:rPr>
                      <w:rFonts w:ascii="Calibri" w:eastAsia="Times New Roman" w:hAnsi="Calibri" w:cs="Times New Roman"/>
                      <w:b/>
                      <w:bCs/>
                      <w:caps/>
                      <w:color w:val="000000"/>
                      <w:sz w:val="24"/>
                      <w:szCs w:val="24"/>
                      <w:lang w:eastAsia="es-ES"/>
                    </w:rPr>
                  </w:pPr>
                  <w:r w:rsidRPr="008C42B4">
                    <w:rPr>
                      <w:rFonts w:ascii="Calibri" w:eastAsia="Times New Roman" w:hAnsi="Calibri" w:cs="Times New Roman"/>
                      <w:b/>
                      <w:bCs/>
                      <w:caps/>
                      <w:color w:val="000000"/>
                      <w:sz w:val="24"/>
                      <w:szCs w:val="24"/>
                      <w:lang w:eastAsia="es-ES"/>
                    </w:rPr>
                    <w:t>CÓDIGO PIM-PDL-PR-002</w:t>
                  </w:r>
                </w:p>
              </w:tc>
            </w:tr>
          </w:tbl>
          <w:p w:rsidR="008C42B4" w:rsidRPr="008C42B4" w:rsidRDefault="008C42B4" w:rsidP="008C42B4">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8C42B4" w:rsidRPr="008C42B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right"/>
                    <w:rPr>
                      <w:rFonts w:ascii="Calibri" w:eastAsia="Times New Roman" w:hAnsi="Calibri" w:cs="Times New Roman"/>
                      <w:b/>
                      <w:bCs/>
                      <w:caps/>
                      <w:color w:val="000000"/>
                      <w:sz w:val="24"/>
                      <w:szCs w:val="24"/>
                      <w:lang w:eastAsia="es-ES"/>
                    </w:rPr>
                  </w:pPr>
                  <w:r w:rsidRPr="008C42B4">
                    <w:rPr>
                      <w:rFonts w:ascii="Calibri" w:eastAsia="Times New Roman" w:hAnsi="Calibri" w:cs="Times New Roman"/>
                      <w:b/>
                      <w:bCs/>
                      <w:caps/>
                      <w:color w:val="000000"/>
                      <w:sz w:val="24"/>
                      <w:szCs w:val="24"/>
                      <w:lang w:eastAsia="es-ES"/>
                    </w:rPr>
                    <w:t>SUBPROCESO PLANEACIÓN DEL DESARROLLO LOCAL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right"/>
                    <w:rPr>
                      <w:rFonts w:ascii="Calibri" w:eastAsia="Times New Roman" w:hAnsi="Calibri" w:cs="Times New Roman"/>
                      <w:b/>
                      <w:bCs/>
                      <w:caps/>
                      <w:color w:val="000000"/>
                      <w:sz w:val="24"/>
                      <w:szCs w:val="24"/>
                      <w:lang w:eastAsia="es-ES"/>
                    </w:rPr>
                  </w:pPr>
                  <w:r w:rsidRPr="008C42B4">
                    <w:rPr>
                      <w:rFonts w:ascii="Calibri" w:eastAsia="Times New Roman" w:hAnsi="Calibri" w:cs="Times New Roman"/>
                      <w:b/>
                      <w:bCs/>
                      <w:caps/>
                      <w:color w:val="000000"/>
                      <w:sz w:val="24"/>
                      <w:szCs w:val="24"/>
                      <w:lang w:eastAsia="es-ES"/>
                    </w:rPr>
                    <w:t>ESTADO VIGENTE</w:t>
                  </w: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1. OBJETIVO</w:t>
                  </w:r>
                </w:p>
              </w:tc>
            </w:tr>
            <w:tr w:rsidR="008C42B4" w:rsidRPr="008C42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60" name="Imagen 6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9" name="Imagen 5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8" name="Imagen 5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Desarrollar según lo establecido en el Plan de desarrollo las acciones pertinentes para formular y adoptar políticas públicas.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2. ALCANCE</w:t>
                  </w:r>
                </w:p>
              </w:tc>
            </w:tr>
            <w:tr w:rsidR="008C42B4" w:rsidRPr="008C42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7" name="Imagen 5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6" name="Imagen 5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5" name="Imagen 5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Desde la inclusión en el plan de desarrollo hasta la promulgación del decreto o del Acuerdo Municipal de adopción de la política.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3. RESPONSABLE</w:t>
                  </w:r>
                </w:p>
              </w:tc>
            </w:tr>
            <w:tr w:rsidR="008C42B4" w:rsidRPr="008C42B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8C42B4" w:rsidRPr="008C42B4">
                    <w:trPr>
                      <w:tblCellSpacing w:w="15" w:type="dxa"/>
                    </w:trPr>
                    <w:tc>
                      <w:tcPr>
                        <w:tcW w:w="15" w:type="dxa"/>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p>
                    </w:tc>
                    <w:tc>
                      <w:tcPr>
                        <w:tcW w:w="5000" w:type="pct"/>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Clara </w:t>
                        </w:r>
                        <w:proofErr w:type="spellStart"/>
                        <w:r w:rsidRPr="008C42B4">
                          <w:rPr>
                            <w:rFonts w:ascii="Calibri" w:eastAsia="Times New Roman" w:hAnsi="Calibri" w:cs="Times New Roman"/>
                            <w:lang w:eastAsia="es-ES"/>
                          </w:rPr>
                          <w:t>Ines</w:t>
                        </w:r>
                        <w:proofErr w:type="spellEnd"/>
                        <w:r w:rsidRPr="008C42B4">
                          <w:rPr>
                            <w:rFonts w:ascii="Calibri" w:eastAsia="Times New Roman" w:hAnsi="Calibri" w:cs="Times New Roman"/>
                            <w:lang w:eastAsia="es-ES"/>
                          </w:rPr>
                          <w:t xml:space="preserve"> Restrepo Hurtado</w:t>
                        </w:r>
                      </w:p>
                    </w:tc>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4. CONDICIONES GENERALES</w:t>
                  </w:r>
                </w:p>
              </w:tc>
            </w:tr>
            <w:tr w:rsidR="008C42B4" w:rsidRPr="008C42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4" name="Imagen 5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3" name="Imagen 5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2" name="Imagen 5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1. La obligatoriedad de formular la Política Pública proviene del Plan de Desarrollo o de un mandato legal. En el contexto colombiano y debido a la alineación de los diferentes planes de desarrollo tanto nacional como departamental, las Políticas Públicas vienen direccionadas desde el nivel central.</w:t>
                        </w:r>
                        <w:r w:rsidRPr="008C42B4">
                          <w:rPr>
                            <w:rFonts w:ascii="Calibri" w:eastAsia="Times New Roman" w:hAnsi="Calibri" w:cs="Times New Roman"/>
                            <w:lang w:eastAsia="es-ES"/>
                          </w:rPr>
                          <w:br/>
                        </w:r>
                        <w:r w:rsidRPr="008C42B4">
                          <w:rPr>
                            <w:rFonts w:ascii="Calibri" w:eastAsia="Times New Roman" w:hAnsi="Calibri" w:cs="Times New Roman"/>
                            <w:lang w:eastAsia="es-ES"/>
                          </w:rPr>
                          <w:br/>
                          <w:t xml:space="preserve">2. Las políticas públicas (PP) deben dar respuesta a situaciones problemáticas identificadas en el municipio, a través de los diagnósticos </w:t>
                        </w:r>
                        <w:r w:rsidRPr="008C42B4">
                          <w:rPr>
                            <w:rFonts w:ascii="Calibri" w:eastAsia="Times New Roman" w:hAnsi="Calibri" w:cs="Times New Roman"/>
                            <w:lang w:eastAsia="es-ES"/>
                          </w:rPr>
                          <w:lastRenderedPageBreak/>
                          <w:t>sectoriales y en articulación con los lineamientos nacionales.</w:t>
                        </w:r>
                        <w:r w:rsidRPr="008C42B4">
                          <w:rPr>
                            <w:rFonts w:ascii="Calibri" w:eastAsia="Times New Roman" w:hAnsi="Calibri" w:cs="Times New Roman"/>
                            <w:lang w:eastAsia="es-ES"/>
                          </w:rPr>
                          <w:br/>
                        </w:r>
                        <w:r w:rsidRPr="008C42B4">
                          <w:rPr>
                            <w:rFonts w:ascii="Calibri" w:eastAsia="Times New Roman" w:hAnsi="Calibri" w:cs="Times New Roman"/>
                            <w:lang w:eastAsia="es-ES"/>
                          </w:rPr>
                          <w:br/>
                          <w:t>3. Todas las Políticas Públicas Deberá tener definido un marco legal e institucional y deberá quedar documentado en el Acuerdo o Decreto que las promulguen. </w:t>
                        </w:r>
                        <w:r w:rsidRPr="008C42B4">
                          <w:rPr>
                            <w:rFonts w:ascii="Calibri" w:eastAsia="Times New Roman" w:hAnsi="Calibri" w:cs="Times New Roman"/>
                            <w:lang w:eastAsia="es-ES"/>
                          </w:rPr>
                          <w:br/>
                        </w:r>
                        <w:r w:rsidRPr="008C42B4">
                          <w:rPr>
                            <w:rFonts w:ascii="Calibri" w:eastAsia="Times New Roman" w:hAnsi="Calibri" w:cs="Times New Roman"/>
                            <w:lang w:eastAsia="es-ES"/>
                          </w:rPr>
                          <w:br/>
                          <w:t xml:space="preserve">4. El Plan de Acción Cuatrienal para la implementación de la Política Pública, deberá ser adoptado por Acto Administrativo dentro de los 60 días </w:t>
                        </w:r>
                        <w:proofErr w:type="gramStart"/>
                        <w:r w:rsidRPr="008C42B4">
                          <w:rPr>
                            <w:rFonts w:ascii="Calibri" w:eastAsia="Times New Roman" w:hAnsi="Calibri" w:cs="Times New Roman"/>
                            <w:lang w:eastAsia="es-ES"/>
                          </w:rPr>
                          <w:t>calendario siguientes</w:t>
                        </w:r>
                        <w:proofErr w:type="gramEnd"/>
                        <w:r w:rsidRPr="008C42B4">
                          <w:rPr>
                            <w:rFonts w:ascii="Calibri" w:eastAsia="Times New Roman" w:hAnsi="Calibri" w:cs="Times New Roman"/>
                            <w:lang w:eastAsia="es-ES"/>
                          </w:rPr>
                          <w:t xml:space="preserve"> a la fecha de publicación de dicho Decreto o Acuerdo. </w:t>
                        </w:r>
                        <w:r w:rsidRPr="008C42B4">
                          <w:rPr>
                            <w:rFonts w:ascii="Calibri" w:eastAsia="Times New Roman" w:hAnsi="Calibri" w:cs="Times New Roman"/>
                            <w:lang w:eastAsia="es-ES"/>
                          </w:rPr>
                          <w:br/>
                        </w:r>
                        <w:r w:rsidRPr="008C42B4">
                          <w:rPr>
                            <w:rFonts w:ascii="Calibri" w:eastAsia="Times New Roman" w:hAnsi="Calibri" w:cs="Times New Roman"/>
                            <w:lang w:eastAsia="es-ES"/>
                          </w:rPr>
                          <w:br/>
                          <w:t>5. Cada sector responsable de formular la Política Pública hará las apropiaciones presupuestales necesarias que garanticen la realización del proceso.</w:t>
                        </w:r>
                        <w:r w:rsidRPr="008C42B4">
                          <w:rPr>
                            <w:rFonts w:ascii="Calibri" w:eastAsia="Times New Roman" w:hAnsi="Calibri" w:cs="Times New Roman"/>
                            <w:lang w:eastAsia="es-ES"/>
                          </w:rPr>
                          <w:br/>
                        </w:r>
                        <w:r w:rsidRPr="008C42B4">
                          <w:rPr>
                            <w:rFonts w:ascii="Calibri" w:eastAsia="Times New Roman" w:hAnsi="Calibri" w:cs="Times New Roman"/>
                            <w:lang w:eastAsia="es-ES"/>
                          </w:rPr>
                          <w:br/>
                          <w:t>6. El o los Secretarios de Despacho del sector dentro del cual se enmarque la política a formular, adaptar y adoptar, designará los funcionarios responsables de liderar el respectivo proceso e informará de la delegación de dicho equipo de trabajo, enviando copia del acto administrativo a la Secretaria de Planeación.</w:t>
                        </w:r>
                        <w:r w:rsidRPr="008C42B4">
                          <w:rPr>
                            <w:rFonts w:ascii="Calibri" w:eastAsia="Times New Roman" w:hAnsi="Calibri" w:cs="Times New Roman"/>
                            <w:lang w:eastAsia="es-ES"/>
                          </w:rPr>
                          <w:br/>
                        </w:r>
                        <w:r w:rsidRPr="008C42B4">
                          <w:rPr>
                            <w:rFonts w:ascii="Calibri" w:eastAsia="Times New Roman" w:hAnsi="Calibri" w:cs="Times New Roman"/>
                            <w:lang w:eastAsia="es-ES"/>
                          </w:rPr>
                          <w:br/>
                          <w:t>7. La Secretaria o dependencia responsable de la gestión de la Política Pública deberá presentar en el respectivo Comité, el plan de acción para la formulación de la política, para que sea aprobado y viabilizado por las dependencias involucradas, y para generar el compromiso que garantice resultados exitosos del proceso.</w:t>
                        </w:r>
                        <w:r w:rsidRPr="008C42B4">
                          <w:rPr>
                            <w:rFonts w:ascii="Calibri" w:eastAsia="Times New Roman" w:hAnsi="Calibri" w:cs="Times New Roman"/>
                            <w:lang w:eastAsia="es-ES"/>
                          </w:rPr>
                          <w:br/>
                        </w:r>
                        <w:r w:rsidRPr="008C42B4">
                          <w:rPr>
                            <w:rFonts w:ascii="Calibri" w:eastAsia="Times New Roman" w:hAnsi="Calibri" w:cs="Times New Roman"/>
                            <w:lang w:eastAsia="es-ES"/>
                          </w:rPr>
                          <w:br/>
                          <w:t>8. Una vez quede aprobado en el Plan de Desarrollo Municipal las Políticas Públicas a adoptar, el proceso de formulación debe iniciar a partir del segundo año del gobierno, dado el tiempo requerido para concretar productos.</w:t>
                        </w:r>
                        <w:r w:rsidRPr="008C42B4">
                          <w:rPr>
                            <w:rFonts w:ascii="Calibri" w:eastAsia="Times New Roman" w:hAnsi="Calibri" w:cs="Times New Roman"/>
                            <w:lang w:eastAsia="es-ES"/>
                          </w:rPr>
                          <w:br/>
                        </w:r>
                        <w:r w:rsidRPr="008C42B4">
                          <w:rPr>
                            <w:rFonts w:ascii="Calibri" w:eastAsia="Times New Roman" w:hAnsi="Calibri" w:cs="Times New Roman"/>
                            <w:lang w:eastAsia="es-ES"/>
                          </w:rPr>
                          <w:br/>
                          <w:t xml:space="preserve">9. Aplicar doble estructura en la definición de </w:t>
                        </w:r>
                        <w:proofErr w:type="gramStart"/>
                        <w:r w:rsidRPr="008C42B4">
                          <w:rPr>
                            <w:rFonts w:ascii="Calibri" w:eastAsia="Times New Roman" w:hAnsi="Calibri" w:cs="Times New Roman"/>
                            <w:lang w:eastAsia="es-ES"/>
                          </w:rPr>
                          <w:t>la líneas</w:t>
                        </w:r>
                        <w:proofErr w:type="gramEnd"/>
                        <w:r w:rsidRPr="008C42B4">
                          <w:rPr>
                            <w:rFonts w:ascii="Calibri" w:eastAsia="Times New Roman" w:hAnsi="Calibri" w:cs="Times New Roman"/>
                            <w:lang w:eastAsia="es-ES"/>
                          </w:rPr>
                          <w:t xml:space="preserve"> de intervención de la Política. </w:t>
                        </w:r>
                        <w:r w:rsidRPr="008C42B4">
                          <w:rPr>
                            <w:rFonts w:ascii="Calibri" w:eastAsia="Times New Roman" w:hAnsi="Calibri" w:cs="Times New Roman"/>
                            <w:lang w:eastAsia="es-ES"/>
                          </w:rPr>
                          <w:br/>
                          <w:t>Vale decir, en el Nivel 1, bajo cualquiera de las siguientes denominaciones que se quieran adoptar: Eje Estratégico, Estrategias, Dimensiones u Áreas, y en el Nivel 2: Líneas de Acción.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5. DEFINICIONES</w:t>
                  </w:r>
                </w:p>
              </w:tc>
            </w:tr>
            <w:tr w:rsidR="008C42B4" w:rsidRPr="008C42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1" name="Imagen 5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0" name="Imagen 5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9" name="Imagen 4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5.1. POLÍTICA PÚBLICA:</w:t>
                        </w:r>
                        <w:r w:rsidRPr="008C42B4">
                          <w:rPr>
                            <w:rFonts w:ascii="Calibri" w:eastAsia="Times New Roman" w:hAnsi="Calibri" w:cs="Times New Roman"/>
                            <w:lang w:eastAsia="es-ES"/>
                          </w:rPr>
                          <w:t> Es el arte de construir acuerdos en torno a los grandes objetivos que convienen a todos los miembros de la comunidad.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lastRenderedPageBreak/>
                          <w:drawing>
                            <wp:inline distT="0" distB="0" distL="0" distR="0">
                              <wp:extent cx="9525" cy="9525"/>
                              <wp:effectExtent l="0" t="0" r="0" b="0"/>
                              <wp:docPr id="48" name="Imagen 4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47" name="Imagen 4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6" name="Imagen 4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5.2. ACUERDOS SOCIALES:</w:t>
                        </w:r>
                        <w:r w:rsidRPr="008C42B4">
                          <w:rPr>
                            <w:rFonts w:ascii="Calibri" w:eastAsia="Times New Roman" w:hAnsi="Calibri" w:cs="Times New Roman"/>
                            <w:lang w:eastAsia="es-ES"/>
                          </w:rPr>
                          <w:t> Son consensos relacionados con los logros mínimos que deben alcanzarse, sobre el proceso que debe emprenderse para alcanzarlos, sobre los esfuerzos financieros y operativos que corresponden a cada uno de los responsables de lograrlos, sobre las acciones en torno a las cuales se moviliza la comunidad y sobre el mecanismo para vigilar los avances del proceso emprendido.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5" name="Imagen 4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44" name="Imagen 4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3" name="Imagen 4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5.3. ENFOQUE DIFERENCIAL:</w:t>
                        </w:r>
                        <w:r w:rsidRPr="008C42B4">
                          <w:rPr>
                            <w:rFonts w:ascii="Calibri" w:eastAsia="Times New Roman" w:hAnsi="Calibri" w:cs="Times New Roman"/>
                            <w:lang w:eastAsia="es-ES"/>
                          </w:rPr>
                          <w:t> Es un método de análisis y una guía para la acción. En el primer caso, emplea una lectura de la realidad que pretende hacer visibles las formas de discriminación contra aquellos grupos o pobladores considerados diferentes por una mayoría o por un grupo hegemónico. En el segundo caso, toma en cuenta dicho análisis para brindar adecuada atención y protección de los derechos de la población. Siendo así las cosas, el enfoque diferencial juega un papel importante como herramienta que debe manejar todo funcionario público, y en especial aquellas instituciones cuya obligación está en velar por el bienestar y el goce de los derechos de los ciudadanos.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2" name="Imagen 4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41" name="Imagen 4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0" name="Imagen 4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5.4. GARANTÍA DE DERECHOS HUMANOS:</w:t>
                        </w:r>
                        <w:r w:rsidRPr="008C42B4">
                          <w:rPr>
                            <w:rFonts w:ascii="Calibri" w:eastAsia="Times New Roman" w:hAnsi="Calibri" w:cs="Times New Roman"/>
                            <w:lang w:eastAsia="es-ES"/>
                          </w:rPr>
                          <w:t> Son mecanismos de protección y tutela de los derechos encomendados a órganos institucionales como el gobierno, el legislador, la administración o los jueces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9" name="Imagen 3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38" name="Imagen 3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7" name="Imagen 3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5.5. MOVILIZACIÓN SOCIAL O CIUDADANA:</w:t>
                        </w:r>
                        <w:r w:rsidRPr="008C42B4">
                          <w:rPr>
                            <w:rFonts w:ascii="Calibri" w:eastAsia="Times New Roman" w:hAnsi="Calibri" w:cs="Times New Roman"/>
                            <w:lang w:eastAsia="es-ES"/>
                          </w:rPr>
                          <w:t> Proceso basado en el aprendizaje social, la cooperación entre actores, en su calidad de ciudadanos electores, contribuyentes y beneficiarios de las decisiones de política que se adoptan, incorpora la corresponsabilidad de todos en la búsqueda de mejores condiciones de desarrollo.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6" name="Imagen 3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35" name="Imagen 3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4" name="Imagen 3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5.6. RUTA METODOLÓGICA:</w:t>
                        </w:r>
                        <w:r w:rsidRPr="008C42B4">
                          <w:rPr>
                            <w:rFonts w:ascii="Calibri" w:eastAsia="Times New Roman" w:hAnsi="Calibri" w:cs="Times New Roman"/>
                            <w:lang w:eastAsia="es-ES"/>
                          </w:rPr>
                          <w:t> Es el instrumento destinado a orientar el proceso y responsables de las políticas en la gestión y acompañamiento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3" name="Imagen 3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32" name="Imagen 3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1" name="Imagen 3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5.7. PLAN DE IMPLEMENTACIÓN:</w:t>
                        </w:r>
                        <w:r w:rsidRPr="008C42B4">
                          <w:rPr>
                            <w:rFonts w:ascii="Calibri" w:eastAsia="Times New Roman" w:hAnsi="Calibri" w:cs="Times New Roman"/>
                            <w:lang w:eastAsia="es-ES"/>
                          </w:rPr>
                          <w:t> Hace referencia a las acciones que se ejecutarán anualmente para dar cumplimiento a las líneas de política definidas por el ente municipal.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0" name="Imagen 3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29" name="Imagen 2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28" name="Imagen 2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5.8. SISTEMATIZACIÓN:</w:t>
                        </w:r>
                        <w:r w:rsidRPr="008C42B4">
                          <w:rPr>
                            <w:rFonts w:ascii="Calibri" w:eastAsia="Times New Roman" w:hAnsi="Calibri" w:cs="Times New Roman"/>
                            <w:lang w:eastAsia="es-ES"/>
                          </w:rPr>
                          <w:t> Proceso mediante el cual se registra, de manera ordenada, secuencial, permanente y acumulativa los aspectos más relevantes de una experiencia que se quiere compartir con los demás.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27" name="Imagen 2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26" name="Imagen 2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25" name="Imagen 2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5.9. DIAGNÓSTICO:</w:t>
                        </w:r>
                        <w:r w:rsidRPr="008C42B4">
                          <w:rPr>
                            <w:rFonts w:ascii="Calibri" w:eastAsia="Times New Roman" w:hAnsi="Calibri" w:cs="Times New Roman"/>
                            <w:lang w:eastAsia="es-ES"/>
                          </w:rPr>
                          <w:t> Procedimiento ordenado, sistemático para conocer o establecer una circunstancia a partir de observaciones y datos concretos.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24" name="Imagen 2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23" name="Imagen 2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22" name="Imagen 2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5.10. DIAGNÓSTICO SITUACIONAL:</w:t>
                        </w:r>
                        <w:r w:rsidRPr="008C42B4">
                          <w:rPr>
                            <w:rFonts w:ascii="Calibri" w:eastAsia="Times New Roman" w:hAnsi="Calibri" w:cs="Times New Roman"/>
                            <w:lang w:eastAsia="es-ES"/>
                          </w:rPr>
                          <w:t> Tipo de diagnóstico que permite conocer de manera aproximada las diversas problemáticas de un sector o grupo poblacional, a partir de la identificación de los factores y agentes que determinan la situación.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lastRenderedPageBreak/>
                          <w:drawing>
                            <wp:inline distT="0" distB="0" distL="0" distR="0">
                              <wp:extent cx="9525" cy="9525"/>
                              <wp:effectExtent l="0" t="0" r="0" b="0"/>
                              <wp:docPr id="21" name="Imagen 2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20" name="Imagen 2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9" name="Imagen 1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5.11. PLAN DE ACCIÓN CUATRIENAL DE POLÍTICA PÚBLICA:</w:t>
                        </w:r>
                        <w:r w:rsidRPr="008C42B4">
                          <w:rPr>
                            <w:rFonts w:ascii="Calibri" w:eastAsia="Times New Roman" w:hAnsi="Calibri" w:cs="Times New Roman"/>
                            <w:lang w:eastAsia="es-ES"/>
                          </w:rPr>
                          <w:t> Instrumento que determina la programación anual de las actividades por dependencia de la Administración, según la estrategia diseñada por ellas para ejecutar el presupuesto asignado y garantizar el cumplimiento del Plan Operativo Anual de Inversiones (POAI), y con él, el del Plan Indicativo (PI) y el Plan de Desarrollo Municipal (PDM).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8" name="Imagen 1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17" name="Imagen 1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6" name="Imagen 1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5.12. ADOPTAR:</w:t>
                        </w:r>
                        <w:r w:rsidRPr="008C42B4">
                          <w:rPr>
                            <w:rFonts w:ascii="Calibri" w:eastAsia="Times New Roman" w:hAnsi="Calibri" w:cs="Times New Roman"/>
                            <w:lang w:eastAsia="es-ES"/>
                          </w:rPr>
                          <w:t> Hacer legar una decisión mediante la expedición de un acto administrativo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5" name="Imagen 1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14" name="Imagen 1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3" name="Imagen 1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5.13. EJE ESTRATÉGICO:</w:t>
                        </w:r>
                        <w:r w:rsidRPr="008C42B4">
                          <w:rPr>
                            <w:rFonts w:ascii="Calibri" w:eastAsia="Times New Roman" w:hAnsi="Calibri" w:cs="Times New Roman"/>
                            <w:lang w:eastAsia="es-ES"/>
                          </w:rPr>
                          <w:t xml:space="preserve"> Rutas básicas que agrupan varios objetivos y metas que desarrollará una política durante su vigencia. Líneas maestras de intervención sistemática para </w:t>
                        </w:r>
                        <w:proofErr w:type="spellStart"/>
                        <w:r w:rsidRPr="008C42B4">
                          <w:rPr>
                            <w:rFonts w:ascii="Calibri" w:eastAsia="Times New Roman" w:hAnsi="Calibri" w:cs="Times New Roman"/>
                            <w:lang w:eastAsia="es-ES"/>
                          </w:rPr>
                          <w:t>operativizar</w:t>
                        </w:r>
                        <w:proofErr w:type="spellEnd"/>
                        <w:r w:rsidRPr="008C42B4">
                          <w:rPr>
                            <w:rFonts w:ascii="Calibri" w:eastAsia="Times New Roman" w:hAnsi="Calibri" w:cs="Times New Roman"/>
                            <w:lang w:eastAsia="es-ES"/>
                          </w:rPr>
                          <w:t xml:space="preserve"> metas y objetivos, agrupan grandes líneas de acción.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2" name="Imagen 1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11" name="Imagen 1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0" name="Imagen 1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5.14. DIMENSIÓN:</w:t>
                        </w:r>
                        <w:r w:rsidRPr="008C42B4">
                          <w:rPr>
                            <w:rFonts w:ascii="Calibri" w:eastAsia="Times New Roman" w:hAnsi="Calibri" w:cs="Times New Roman"/>
                            <w:lang w:eastAsia="es-ES"/>
                          </w:rPr>
                          <w:t> El concepto tiene diversos usos de acuerdo al contexto, puede tratarse de una característica, una circunstancia o una fase de una cosa o de un asunto.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9" name="Imagen 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8" name="Imagen 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7" name="Imagen 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5.15. ÁREA:</w:t>
                        </w:r>
                        <w:r w:rsidRPr="008C42B4">
                          <w:rPr>
                            <w:rFonts w:ascii="Calibri" w:eastAsia="Times New Roman" w:hAnsi="Calibri" w:cs="Times New Roman"/>
                            <w:lang w:eastAsia="es-ES"/>
                          </w:rPr>
                          <w:t> Campo de acción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6" name="Imagen 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 name="Imagen 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 name="Imagen 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5.16. ESTRATEGIA:</w:t>
                        </w:r>
                        <w:r w:rsidRPr="008C42B4">
                          <w:rPr>
                            <w:rFonts w:ascii="Calibri" w:eastAsia="Times New Roman" w:hAnsi="Calibri" w:cs="Times New Roman"/>
                            <w:lang w:eastAsia="es-ES"/>
                          </w:rPr>
                          <w:t> Conjunto de acciones que se llevan a cabo para lograr un determinado fin.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r w:rsidR="008C42B4" w:rsidRPr="008C42B4">
                    <w:trPr>
                      <w:tblCellSpacing w:w="0" w:type="dxa"/>
                    </w:trPr>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 name="Imagen 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2" name="Imagen 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8C42B4" w:rsidRPr="008C42B4" w:rsidRDefault="008C42B4" w:rsidP="008C42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1" name="Imagen 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b/>
                            <w:bCs/>
                            <w:color w:val="000000"/>
                            <w:sz w:val="24"/>
                            <w:szCs w:val="24"/>
                            <w:lang w:eastAsia="es-ES"/>
                          </w:rPr>
                          <w:t>5.17. LINEA DE ACCIÓN:</w:t>
                        </w:r>
                        <w:r w:rsidRPr="008C42B4">
                          <w:rPr>
                            <w:rFonts w:ascii="Calibri" w:eastAsia="Times New Roman" w:hAnsi="Calibri" w:cs="Times New Roman"/>
                            <w:lang w:eastAsia="es-ES"/>
                          </w:rPr>
                          <w:t> Organización de diferentes actividades relacionadas con un campo de acción.  </w:t>
                        </w:r>
                      </w:p>
                    </w:tc>
                  </w:tr>
                  <w:tr w:rsidR="008C42B4" w:rsidRPr="008C42B4">
                    <w:trPr>
                      <w:trHeight w:val="75"/>
                      <w:tblCellSpacing w:w="0" w:type="dxa"/>
                    </w:trPr>
                    <w:tc>
                      <w:tcPr>
                        <w:tcW w:w="0" w:type="auto"/>
                        <w:gridSpan w:val="4"/>
                        <w:vAlign w:val="center"/>
                        <w:hideMark/>
                      </w:tcPr>
                      <w:p w:rsidR="008C42B4" w:rsidRPr="008C42B4" w:rsidRDefault="008C42B4" w:rsidP="008C42B4">
                        <w:pPr>
                          <w:spacing w:after="0" w:line="240" w:lineRule="auto"/>
                          <w:jc w:val="both"/>
                          <w:rPr>
                            <w:rFonts w:ascii="Calibri" w:eastAsia="Times New Roman" w:hAnsi="Calibri" w:cs="Times New Roman"/>
                            <w:sz w:val="8"/>
                            <w:lang w:eastAsia="es-ES"/>
                          </w:rPr>
                        </w:pPr>
                      </w:p>
                    </w:tc>
                  </w:tr>
                </w:tbl>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6. DOCUMENTACIÓN EXTERNA RELACIONADA</w:t>
                  </w:r>
                </w:p>
              </w:tc>
            </w:tr>
            <w:tr w:rsidR="008C42B4" w:rsidRPr="008C42B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8C42B4" w:rsidRPr="008C42B4">
                    <w:trPr>
                      <w:tblCellSpacing w:w="15" w:type="dxa"/>
                    </w:trPr>
                    <w:tc>
                      <w:tcPr>
                        <w:tcW w:w="15" w:type="dxa"/>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p>
                    </w:tc>
                    <w:tc>
                      <w:tcPr>
                        <w:tcW w:w="5000" w:type="pct"/>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hyperlink r:id="rId7" w:history="1">
                          <w:r w:rsidRPr="008C42B4">
                            <w:rPr>
                              <w:rFonts w:ascii="Calibri" w:eastAsia="Times New Roman" w:hAnsi="Calibri" w:cs="Times New Roman"/>
                              <w:color w:val="0000FF"/>
                              <w:u w:val="single"/>
                              <w:lang w:eastAsia="es-ES"/>
                            </w:rPr>
                            <w:t>- Cómo hacer una Política Pública de Infancia y Adolescencia en el Departamento o Municipio</w:t>
                          </w:r>
                        </w:hyperlink>
                        <w:r w:rsidRPr="008C42B4">
                          <w:rPr>
                            <w:rFonts w:ascii="Calibri" w:eastAsia="Times New Roman" w:hAnsi="Calibri" w:cs="Times New Roman"/>
                            <w:lang w:eastAsia="es-ES"/>
                          </w:rPr>
                          <w:br/>
                        </w:r>
                        <w:hyperlink r:id="rId8" w:history="1">
                          <w:r w:rsidRPr="008C42B4">
                            <w:rPr>
                              <w:rFonts w:ascii="Calibri" w:eastAsia="Times New Roman" w:hAnsi="Calibri" w:cs="Times New Roman"/>
                              <w:color w:val="0000FF"/>
                              <w:u w:val="single"/>
                              <w:lang w:eastAsia="es-ES"/>
                            </w:rPr>
                            <w:t xml:space="preserve">- La infancia, la adolescencia y el ambiente sano en los Planes de Desarrollo </w:t>
                          </w:r>
                          <w:proofErr w:type="spellStart"/>
                          <w:r w:rsidRPr="008C42B4">
                            <w:rPr>
                              <w:rFonts w:ascii="Calibri" w:eastAsia="Times New Roman" w:hAnsi="Calibri" w:cs="Times New Roman"/>
                              <w:color w:val="0000FF"/>
                              <w:u w:val="single"/>
                              <w:lang w:eastAsia="es-ES"/>
                            </w:rPr>
                            <w:t>Departam</w:t>
                          </w:r>
                          <w:proofErr w:type="spellEnd"/>
                          <w:r w:rsidRPr="008C42B4">
                            <w:rPr>
                              <w:rFonts w:ascii="Calibri" w:eastAsia="Times New Roman" w:hAnsi="Calibri" w:cs="Times New Roman"/>
                              <w:color w:val="0000FF"/>
                              <w:u w:val="single"/>
                              <w:lang w:eastAsia="es-ES"/>
                            </w:rPr>
                            <w:t>. y Municipales</w:t>
                          </w:r>
                        </w:hyperlink>
                        <w:r w:rsidRPr="008C42B4">
                          <w:rPr>
                            <w:rFonts w:ascii="Calibri" w:eastAsia="Times New Roman" w:hAnsi="Calibri" w:cs="Times New Roman"/>
                            <w:lang w:eastAsia="es-ES"/>
                          </w:rPr>
                          <w:br/>
                        </w:r>
                        <w:hyperlink r:id="rId9" w:history="1">
                          <w:r w:rsidRPr="008C42B4">
                            <w:rPr>
                              <w:rFonts w:ascii="Calibri" w:eastAsia="Times New Roman" w:hAnsi="Calibri" w:cs="Times New Roman"/>
                              <w:color w:val="0000FF"/>
                              <w:u w:val="single"/>
                              <w:lang w:eastAsia="es-ES"/>
                            </w:rPr>
                            <w:t>- Ley 1618 de 2013</w:t>
                          </w:r>
                        </w:hyperlink>
                        <w:r w:rsidRPr="008C42B4">
                          <w:rPr>
                            <w:rFonts w:ascii="Calibri" w:eastAsia="Times New Roman" w:hAnsi="Calibri" w:cs="Times New Roman"/>
                            <w:lang w:eastAsia="es-ES"/>
                          </w:rPr>
                          <w:br/>
                        </w:r>
                        <w:hyperlink r:id="rId10" w:history="1">
                          <w:r w:rsidRPr="008C42B4">
                            <w:rPr>
                              <w:rFonts w:ascii="Calibri" w:eastAsia="Times New Roman" w:hAnsi="Calibri" w:cs="Times New Roman"/>
                              <w:color w:val="0000FF"/>
                              <w:u w:val="single"/>
                              <w:lang w:eastAsia="es-ES"/>
                            </w:rPr>
                            <w:t>- Lineamientos de la Política Pública Nacional de Equidad de Género para las Mujeres</w:t>
                          </w:r>
                        </w:hyperlink>
                        <w:r w:rsidRPr="008C42B4">
                          <w:rPr>
                            <w:rFonts w:ascii="Calibri" w:eastAsia="Times New Roman" w:hAnsi="Calibri" w:cs="Times New Roman"/>
                            <w:lang w:eastAsia="es-ES"/>
                          </w:rPr>
                          <w:br/>
                        </w:r>
                        <w:hyperlink r:id="rId11" w:history="1">
                          <w:r w:rsidRPr="008C42B4">
                            <w:rPr>
                              <w:rFonts w:ascii="Calibri" w:eastAsia="Times New Roman" w:hAnsi="Calibri" w:cs="Times New Roman"/>
                              <w:color w:val="0000FF"/>
                              <w:u w:val="single"/>
                              <w:lang w:eastAsia="es-ES"/>
                            </w:rPr>
                            <w:t>- Lineamientos de Política de Salud Mental para Colombia</w:t>
                          </w:r>
                        </w:hyperlink>
                        <w:r w:rsidRPr="008C42B4">
                          <w:rPr>
                            <w:rFonts w:ascii="Calibri" w:eastAsia="Times New Roman" w:hAnsi="Calibri" w:cs="Times New Roman"/>
                            <w:lang w:eastAsia="es-ES"/>
                          </w:rPr>
                          <w:br/>
                        </w:r>
                        <w:hyperlink r:id="rId12" w:history="1">
                          <w:r w:rsidRPr="008C42B4">
                            <w:rPr>
                              <w:rFonts w:ascii="Calibri" w:eastAsia="Times New Roman" w:hAnsi="Calibri" w:cs="Times New Roman"/>
                              <w:color w:val="0000FF"/>
                              <w:u w:val="single"/>
                              <w:lang w:eastAsia="es-ES"/>
                            </w:rPr>
                            <w:t xml:space="preserve">- Lineamientos de PP para el Desarrollo de los Niños, Niñas y Adolescentes en el </w:t>
                          </w:r>
                          <w:proofErr w:type="spellStart"/>
                          <w:r w:rsidRPr="008C42B4">
                            <w:rPr>
                              <w:rFonts w:ascii="Calibri" w:eastAsia="Times New Roman" w:hAnsi="Calibri" w:cs="Times New Roman"/>
                              <w:color w:val="0000FF"/>
                              <w:u w:val="single"/>
                              <w:lang w:eastAsia="es-ES"/>
                            </w:rPr>
                            <w:t>Depar</w:t>
                          </w:r>
                          <w:proofErr w:type="spellEnd"/>
                          <w:r w:rsidRPr="008C42B4">
                            <w:rPr>
                              <w:rFonts w:ascii="Calibri" w:eastAsia="Times New Roman" w:hAnsi="Calibri" w:cs="Times New Roman"/>
                              <w:color w:val="0000FF"/>
                              <w:u w:val="single"/>
                              <w:lang w:eastAsia="es-ES"/>
                            </w:rPr>
                            <w:t>. y el Municipio</w:t>
                          </w:r>
                        </w:hyperlink>
                        <w:r w:rsidRPr="008C42B4">
                          <w:rPr>
                            <w:rFonts w:ascii="Calibri" w:eastAsia="Times New Roman" w:hAnsi="Calibri" w:cs="Times New Roman"/>
                            <w:lang w:eastAsia="es-ES"/>
                          </w:rPr>
                          <w:br/>
                        </w:r>
                        <w:hyperlink r:id="rId13" w:history="1">
                          <w:r w:rsidRPr="008C42B4">
                            <w:rPr>
                              <w:rFonts w:ascii="Calibri" w:eastAsia="Times New Roman" w:hAnsi="Calibri" w:cs="Times New Roman"/>
                              <w:color w:val="0000FF"/>
                              <w:u w:val="single"/>
                              <w:lang w:eastAsia="es-ES"/>
                            </w:rPr>
                            <w:t>- Marco para las PP y Lineamientos para la Planeación del Desarrollo de la Infancia y Adolescencia</w:t>
                          </w:r>
                        </w:hyperlink>
                        <w:r w:rsidRPr="008C42B4">
                          <w:rPr>
                            <w:rFonts w:ascii="Calibri" w:eastAsia="Times New Roman" w:hAnsi="Calibri" w:cs="Times New Roman"/>
                            <w:lang w:eastAsia="es-ES"/>
                          </w:rPr>
                          <w:br/>
                        </w:r>
                        <w:hyperlink r:id="rId14" w:history="1">
                          <w:r w:rsidRPr="008C42B4">
                            <w:rPr>
                              <w:rFonts w:ascii="Calibri" w:eastAsia="Times New Roman" w:hAnsi="Calibri" w:cs="Times New Roman"/>
                              <w:color w:val="0000FF"/>
                              <w:u w:val="single"/>
                              <w:lang w:eastAsia="es-ES"/>
                            </w:rPr>
                            <w:t>- Municipios y Departamentos por la Infancia y la Adolescencia</w:t>
                          </w:r>
                        </w:hyperlink>
                        <w:r w:rsidRPr="008C42B4">
                          <w:rPr>
                            <w:rFonts w:ascii="Calibri" w:eastAsia="Times New Roman" w:hAnsi="Calibri" w:cs="Times New Roman"/>
                            <w:lang w:eastAsia="es-ES"/>
                          </w:rPr>
                          <w:br/>
                        </w:r>
                        <w:hyperlink r:id="rId15" w:history="1">
                          <w:r w:rsidRPr="008C42B4">
                            <w:rPr>
                              <w:rFonts w:ascii="Calibri" w:eastAsia="Times New Roman" w:hAnsi="Calibri" w:cs="Times New Roman"/>
                              <w:color w:val="0000FF"/>
                              <w:u w:val="single"/>
                              <w:lang w:eastAsia="es-ES"/>
                            </w:rPr>
                            <w:t>- Política Nacional de Envejecimiento y Vejez</w:t>
                          </w:r>
                        </w:hyperlink>
                        <w:r w:rsidRPr="008C42B4">
                          <w:rPr>
                            <w:rFonts w:ascii="Calibri" w:eastAsia="Times New Roman" w:hAnsi="Calibri" w:cs="Times New Roman"/>
                            <w:lang w:eastAsia="es-ES"/>
                          </w:rPr>
                          <w:br/>
                        </w:r>
                        <w:hyperlink r:id="rId16" w:history="1">
                          <w:r w:rsidRPr="008C42B4">
                            <w:rPr>
                              <w:rFonts w:ascii="Calibri" w:eastAsia="Times New Roman" w:hAnsi="Calibri" w:cs="Times New Roman"/>
                              <w:color w:val="0000FF"/>
                              <w:u w:val="single"/>
                              <w:lang w:eastAsia="es-ES"/>
                            </w:rPr>
                            <w:t>- Política Nacional de Seguridad y Convivencia Ciudadana</w:t>
                          </w:r>
                        </w:hyperlink>
                        <w:r w:rsidRPr="008C42B4">
                          <w:rPr>
                            <w:rFonts w:ascii="Calibri" w:eastAsia="Times New Roman" w:hAnsi="Calibri" w:cs="Times New Roman"/>
                            <w:lang w:eastAsia="es-ES"/>
                          </w:rPr>
                          <w:br/>
                        </w:r>
                        <w:hyperlink r:id="rId17" w:history="1">
                          <w:r w:rsidRPr="008C42B4">
                            <w:rPr>
                              <w:rFonts w:ascii="Calibri" w:eastAsia="Times New Roman" w:hAnsi="Calibri" w:cs="Times New Roman"/>
                              <w:color w:val="0000FF"/>
                              <w:u w:val="single"/>
                              <w:lang w:eastAsia="es-ES"/>
                            </w:rPr>
                            <w:t>- Política Pública Nacional para las Familias Colombianas</w:t>
                          </w:r>
                        </w:hyperlink>
                        <w:r w:rsidRPr="008C42B4">
                          <w:rPr>
                            <w:rFonts w:ascii="Calibri" w:eastAsia="Times New Roman" w:hAnsi="Calibri" w:cs="Times New Roman"/>
                            <w:lang w:eastAsia="es-ES"/>
                          </w:rPr>
                          <w:br/>
                        </w:r>
                        <w:hyperlink r:id="rId18" w:history="1">
                          <w:r w:rsidRPr="008C42B4">
                            <w:rPr>
                              <w:rFonts w:ascii="Calibri" w:eastAsia="Times New Roman" w:hAnsi="Calibri" w:cs="Times New Roman"/>
                              <w:color w:val="0000FF"/>
                              <w:u w:val="single"/>
                              <w:lang w:eastAsia="es-ES"/>
                            </w:rPr>
                            <w:t>- Acuerdo 906 de 2016</w:t>
                          </w:r>
                        </w:hyperlink>
                        <w:r w:rsidRPr="008C42B4">
                          <w:rPr>
                            <w:rFonts w:ascii="Calibri" w:eastAsia="Times New Roman" w:hAnsi="Calibri" w:cs="Times New Roman"/>
                            <w:lang w:eastAsia="es-ES"/>
                          </w:rPr>
                          <w:br/>
                        </w:r>
                        <w:hyperlink r:id="rId19" w:history="1">
                          <w:r w:rsidRPr="008C42B4">
                            <w:rPr>
                              <w:rFonts w:ascii="Calibri" w:eastAsia="Times New Roman" w:hAnsi="Calibri" w:cs="Times New Roman"/>
                              <w:color w:val="0000FF"/>
                              <w:u w:val="single"/>
                              <w:lang w:eastAsia="es-ES"/>
                            </w:rPr>
                            <w:t>- Ley 1757 de 2015</w:t>
                          </w:r>
                        </w:hyperlink>
                        <w:r w:rsidRPr="008C42B4">
                          <w:rPr>
                            <w:rFonts w:ascii="Calibri" w:eastAsia="Times New Roman" w:hAnsi="Calibri" w:cs="Times New Roman"/>
                            <w:lang w:eastAsia="es-ES"/>
                          </w:rPr>
                          <w:br/>
                        </w:r>
                        <w:hyperlink r:id="rId20" w:history="1">
                          <w:r w:rsidRPr="008C42B4">
                            <w:rPr>
                              <w:rFonts w:ascii="Calibri" w:eastAsia="Times New Roman" w:hAnsi="Calibri" w:cs="Times New Roman"/>
                              <w:color w:val="0000FF"/>
                              <w:u w:val="single"/>
                              <w:lang w:eastAsia="es-ES"/>
                            </w:rPr>
                            <w:t>- CONPES 109: Política Pública Nacional de Primera Infancia “Colombia por la Primera Infancia”,</w:t>
                          </w:r>
                        </w:hyperlink>
                        <w:r w:rsidRPr="008C42B4">
                          <w:rPr>
                            <w:rFonts w:ascii="Calibri" w:eastAsia="Times New Roman" w:hAnsi="Calibri" w:cs="Times New Roman"/>
                            <w:lang w:eastAsia="es-ES"/>
                          </w:rPr>
                          <w:br/>
                        </w:r>
                        <w:hyperlink r:id="rId21" w:history="1">
                          <w:r w:rsidRPr="008C42B4">
                            <w:rPr>
                              <w:rFonts w:ascii="Calibri" w:eastAsia="Times New Roman" w:hAnsi="Calibri" w:cs="Times New Roman"/>
                              <w:color w:val="0000FF"/>
                              <w:u w:val="single"/>
                              <w:lang w:eastAsia="es-ES"/>
                            </w:rPr>
                            <w:t>- CONPES 161 - Equidad de Género para las Mujeres</w:t>
                          </w:r>
                        </w:hyperlink>
                        <w:r w:rsidRPr="008C42B4">
                          <w:rPr>
                            <w:rFonts w:ascii="Calibri" w:eastAsia="Times New Roman" w:hAnsi="Calibri" w:cs="Times New Roman"/>
                            <w:lang w:eastAsia="es-ES"/>
                          </w:rPr>
                          <w:br/>
                        </w:r>
                        <w:hyperlink r:id="rId22" w:history="1">
                          <w:r w:rsidRPr="008C42B4">
                            <w:rPr>
                              <w:rFonts w:ascii="Calibri" w:eastAsia="Times New Roman" w:hAnsi="Calibri" w:cs="Times New Roman"/>
                              <w:color w:val="0000FF"/>
                              <w:u w:val="single"/>
                              <w:lang w:eastAsia="es-ES"/>
                            </w:rPr>
                            <w:t>- CONPES 166 - Política Pública Nacional de Discapacidad e Inclusión Social</w:t>
                          </w:r>
                        </w:hyperlink>
                        <w:r w:rsidRPr="008C42B4">
                          <w:rPr>
                            <w:rFonts w:ascii="Calibri" w:eastAsia="Times New Roman" w:hAnsi="Calibri" w:cs="Times New Roman"/>
                            <w:lang w:eastAsia="es-ES"/>
                          </w:rPr>
                          <w:br/>
                        </w:r>
                        <w:hyperlink r:id="rId23" w:history="1">
                          <w:r w:rsidRPr="008C42B4">
                            <w:rPr>
                              <w:rFonts w:ascii="Calibri" w:eastAsia="Times New Roman" w:hAnsi="Calibri" w:cs="Times New Roman"/>
                              <w:color w:val="0000FF"/>
                              <w:u w:val="single"/>
                              <w:lang w:eastAsia="es-ES"/>
                            </w:rPr>
                            <w:t>- CONPES 3550 - Lineamientos para la formulación de la Política Integral de Salud Ambiental</w:t>
                          </w:r>
                        </w:hyperlink>
                        <w:r w:rsidRPr="008C42B4">
                          <w:rPr>
                            <w:rFonts w:ascii="Calibri" w:eastAsia="Times New Roman" w:hAnsi="Calibri" w:cs="Times New Roman"/>
                            <w:lang w:eastAsia="es-ES"/>
                          </w:rPr>
                          <w:br/>
                        </w:r>
                        <w:hyperlink r:id="rId24" w:history="1">
                          <w:r w:rsidRPr="008C42B4">
                            <w:rPr>
                              <w:rFonts w:ascii="Calibri" w:eastAsia="Times New Roman" w:hAnsi="Calibri" w:cs="Times New Roman"/>
                              <w:color w:val="0000FF"/>
                              <w:u w:val="single"/>
                              <w:lang w:eastAsia="es-ES"/>
                            </w:rPr>
                            <w:t>- CONPES 167 - Estrategia Nacional de Política Pública Integral Anticorrupción</w:t>
                          </w:r>
                        </w:hyperlink>
                        <w:r w:rsidRPr="008C42B4">
                          <w:rPr>
                            <w:rFonts w:ascii="Calibri" w:eastAsia="Times New Roman" w:hAnsi="Calibri" w:cs="Times New Roman"/>
                            <w:lang w:eastAsia="es-ES"/>
                          </w:rPr>
                          <w:br/>
                        </w:r>
                        <w:hyperlink r:id="rId25" w:history="1">
                          <w:r w:rsidRPr="008C42B4">
                            <w:rPr>
                              <w:rFonts w:ascii="Calibri" w:eastAsia="Times New Roman" w:hAnsi="Calibri" w:cs="Times New Roman"/>
                              <w:color w:val="0000FF"/>
                              <w:u w:val="single"/>
                              <w:lang w:eastAsia="es-ES"/>
                            </w:rPr>
                            <w:t>- CONPES 3854 - Política Nacional de Seguridad Digital</w:t>
                          </w:r>
                        </w:hyperlink>
                      </w:p>
                    </w:tc>
                  </w:tr>
                </w:tbl>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7. DESARROLLO</w:t>
                  </w: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8C42B4" w:rsidRPr="008C42B4">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C42B4" w:rsidRPr="008C42B4" w:rsidRDefault="008C42B4" w:rsidP="008C42B4">
                  <w:pPr>
                    <w:spacing w:after="0" w:line="240" w:lineRule="auto"/>
                    <w:jc w:val="center"/>
                    <w:rPr>
                      <w:rFonts w:ascii="Calibri" w:eastAsia="Times New Roman" w:hAnsi="Calibri" w:cs="Times New Roman"/>
                      <w:b/>
                      <w:bCs/>
                      <w:color w:val="FFFFFF"/>
                      <w:sz w:val="24"/>
                      <w:szCs w:val="24"/>
                      <w:lang w:eastAsia="es-ES"/>
                    </w:rPr>
                  </w:pPr>
                  <w:r w:rsidRPr="008C42B4">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C42B4" w:rsidRPr="008C42B4" w:rsidRDefault="008C42B4" w:rsidP="008C42B4">
                  <w:pPr>
                    <w:spacing w:after="0" w:line="240" w:lineRule="auto"/>
                    <w:jc w:val="center"/>
                    <w:rPr>
                      <w:rFonts w:ascii="Calibri" w:eastAsia="Times New Roman" w:hAnsi="Calibri" w:cs="Times New Roman"/>
                      <w:b/>
                      <w:bCs/>
                      <w:color w:val="FFFFFF"/>
                      <w:sz w:val="24"/>
                      <w:szCs w:val="24"/>
                      <w:lang w:eastAsia="es-ES"/>
                    </w:rPr>
                  </w:pPr>
                  <w:r w:rsidRPr="008C42B4">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C42B4" w:rsidRPr="008C42B4" w:rsidRDefault="008C42B4" w:rsidP="008C42B4">
                  <w:pPr>
                    <w:spacing w:after="0" w:line="240" w:lineRule="auto"/>
                    <w:jc w:val="center"/>
                    <w:rPr>
                      <w:rFonts w:ascii="Calibri" w:eastAsia="Times New Roman" w:hAnsi="Calibri" w:cs="Times New Roman"/>
                      <w:b/>
                      <w:bCs/>
                      <w:color w:val="FFFFFF"/>
                      <w:sz w:val="24"/>
                      <w:szCs w:val="24"/>
                      <w:lang w:eastAsia="es-ES"/>
                    </w:rPr>
                  </w:pPr>
                  <w:r w:rsidRPr="008C42B4">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C42B4" w:rsidRPr="008C42B4" w:rsidRDefault="008C42B4" w:rsidP="008C42B4">
                  <w:pPr>
                    <w:spacing w:after="0" w:line="240" w:lineRule="auto"/>
                    <w:jc w:val="center"/>
                    <w:rPr>
                      <w:rFonts w:ascii="Calibri" w:eastAsia="Times New Roman" w:hAnsi="Calibri" w:cs="Times New Roman"/>
                      <w:b/>
                      <w:bCs/>
                      <w:color w:val="FFFFFF"/>
                      <w:sz w:val="24"/>
                      <w:szCs w:val="24"/>
                      <w:lang w:eastAsia="es-ES"/>
                    </w:rPr>
                  </w:pPr>
                  <w:r w:rsidRPr="008C42B4">
                    <w:rPr>
                      <w:rFonts w:ascii="Calibri" w:eastAsia="Times New Roman" w:hAnsi="Calibri" w:cs="Times New Roman"/>
                      <w:b/>
                      <w:bCs/>
                      <w:color w:val="FFFFFF"/>
                      <w:sz w:val="24"/>
                      <w:szCs w:val="24"/>
                      <w:lang w:eastAsia="es-ES"/>
                    </w:rPr>
                    <w:t>CÓMO LO HACE</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Incluir en el Plan de Desarrollo a entrar en vigencia, las Políticas Públicas correspondientes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Maria</w:t>
                  </w:r>
                  <w:proofErr w:type="spellEnd"/>
                  <w:r w:rsidRPr="008C42B4">
                    <w:rPr>
                      <w:rFonts w:ascii="Calibri" w:eastAsia="Times New Roman" w:hAnsi="Calibri" w:cs="Times New Roman"/>
                      <w:lang w:eastAsia="es-ES"/>
                    </w:rPr>
                    <w:t xml:space="preserve"> del </w:t>
                  </w:r>
                  <w:proofErr w:type="spellStart"/>
                  <w:r w:rsidRPr="008C42B4">
                    <w:rPr>
                      <w:rFonts w:ascii="Calibri" w:eastAsia="Times New Roman" w:hAnsi="Calibri" w:cs="Times New Roman"/>
                      <w:lang w:eastAsia="es-ES"/>
                    </w:rPr>
                    <w:t>Pílar</w:t>
                  </w:r>
                  <w:proofErr w:type="spellEnd"/>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Perez</w:t>
                  </w:r>
                  <w:proofErr w:type="spellEnd"/>
                  <w:r w:rsidRPr="008C42B4">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br/>
                    <w:t>Plan de Desarrollo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Se deben incluir las Políticas Públicas que el municipio considera pertinentes y necesario adoptar de manera formal, lo cual se realiza siguiendo el procedimiento metodológico adoptado para la formulación del Plan de Desarrollo.  </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Aplicar la ruta metodológica para adoptar Políticas Públicas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Maria</w:t>
                  </w:r>
                  <w:proofErr w:type="spellEnd"/>
                  <w:r w:rsidRPr="008C42B4">
                    <w:rPr>
                      <w:rFonts w:ascii="Calibri" w:eastAsia="Times New Roman" w:hAnsi="Calibri" w:cs="Times New Roman"/>
                      <w:lang w:eastAsia="es-ES"/>
                    </w:rPr>
                    <w:t xml:space="preserve"> del </w:t>
                  </w:r>
                  <w:proofErr w:type="spellStart"/>
                  <w:r w:rsidRPr="008C42B4">
                    <w:rPr>
                      <w:rFonts w:ascii="Calibri" w:eastAsia="Times New Roman" w:hAnsi="Calibri" w:cs="Times New Roman"/>
                      <w:lang w:eastAsia="es-ES"/>
                    </w:rPr>
                    <w:t>Pílar</w:t>
                  </w:r>
                  <w:proofErr w:type="spellEnd"/>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Perez</w:t>
                  </w:r>
                  <w:proofErr w:type="spellEnd"/>
                  <w:r w:rsidRPr="008C42B4">
                    <w:rPr>
                      <w:rFonts w:ascii="Calibri" w:eastAsia="Times New Roman" w:hAnsi="Calibri" w:cs="Times New Roman"/>
                      <w:lang w:eastAsia="es-ES"/>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hyperlink r:id="rId26" w:history="1">
                    <w:r w:rsidRPr="008C42B4">
                      <w:rPr>
                        <w:rFonts w:ascii="Calibri" w:eastAsia="Times New Roman" w:hAnsi="Calibri" w:cs="Times New Roman"/>
                        <w:color w:val="0000FF"/>
                        <w:u w:val="single"/>
                        <w:lang w:eastAsia="es-ES"/>
                      </w:rPr>
                      <w:t>- Cronograma y Plan de Trabajo para la Formulación de Políticas Públicas</w:t>
                    </w:r>
                  </w:hyperlink>
                  <w:r w:rsidRPr="008C42B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Para realizar el proceso de adopción de Políticas Públicas, se debe hacer el siguiente análisis: Si existe la política nacional se debe tomar la decisión de adoptarla, y si no existe, se debe formular la política municipal para lo cual se deberá tener en cuenta la ruta metodológica </w:t>
                  </w:r>
                  <w:r w:rsidRPr="008C42B4">
                    <w:rPr>
                      <w:rFonts w:ascii="Calibri" w:eastAsia="Times New Roman" w:hAnsi="Calibri" w:cs="Times New Roman"/>
                      <w:lang w:eastAsia="es-ES"/>
                    </w:rPr>
                    <w:lastRenderedPageBreak/>
                    <w:t>adoptada por el municipio. </w:t>
                  </w:r>
                  <w:r w:rsidRPr="008C42B4">
                    <w:rPr>
                      <w:rFonts w:ascii="Calibri" w:eastAsia="Times New Roman" w:hAnsi="Calibri" w:cs="Times New Roman"/>
                      <w:lang w:eastAsia="es-ES"/>
                    </w:rPr>
                    <w:br/>
                    <w:t>Para el caso de Manizales la ruta metodológica determina el proceso que se seguirá dependiendo del avance de construcción de la política y cuyas decisiones deben ir encaminadas a realizar los siguientes procesos: </w:t>
                  </w:r>
                  <w:r w:rsidRPr="008C42B4">
                    <w:rPr>
                      <w:rFonts w:ascii="Calibri" w:eastAsia="Times New Roman" w:hAnsi="Calibri" w:cs="Times New Roman"/>
                      <w:lang w:eastAsia="es-ES"/>
                    </w:rPr>
                    <w:br/>
                  </w:r>
                  <w:r w:rsidRPr="008C42B4">
                    <w:rPr>
                      <w:rFonts w:ascii="Calibri" w:eastAsia="Times New Roman" w:hAnsi="Calibri" w:cs="Times New Roman"/>
                      <w:lang w:eastAsia="es-ES"/>
                    </w:rPr>
                    <w:br/>
                    <w:t>* Formulación: Cuando no existen Políticas Nacionales formal y oficialmente adoptadas. </w:t>
                  </w:r>
                  <w:r w:rsidRPr="008C42B4">
                    <w:rPr>
                      <w:rFonts w:ascii="Calibri" w:eastAsia="Times New Roman" w:hAnsi="Calibri" w:cs="Times New Roman"/>
                      <w:lang w:eastAsia="es-ES"/>
                    </w:rPr>
                    <w:br/>
                    <w:t>* Adaptación: Cuando existen Políticas Nacionales de obligatorio cumplimiento por parte de las Entidades Territoriales, en cuyo caso el municipio toma la decisión de adaptar y/o ajustar sus acciones al modelo Nacional. </w:t>
                  </w:r>
                  <w:r w:rsidRPr="008C42B4">
                    <w:rPr>
                      <w:rFonts w:ascii="Calibri" w:eastAsia="Times New Roman" w:hAnsi="Calibri" w:cs="Times New Roman"/>
                      <w:lang w:eastAsia="es-ES"/>
                    </w:rPr>
                    <w:br/>
                    <w:t xml:space="preserve">* Adopción: El proceso de la adopción hace referencia al proceso de hacer formal la decisión de contar con una Política Pública, en cuyo caso puede ser mediante Acuerdo del Consejo o mediante Acto Administrativo firmado por el </w:t>
                  </w:r>
                  <w:r w:rsidRPr="008C42B4">
                    <w:rPr>
                      <w:rFonts w:ascii="Calibri" w:eastAsia="Times New Roman" w:hAnsi="Calibri" w:cs="Times New Roman"/>
                      <w:lang w:eastAsia="es-ES"/>
                    </w:rPr>
                    <w:lastRenderedPageBreak/>
                    <w:t>Señor Alcalde.  </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lastRenderedPageBreak/>
                    <w:t>Conformar y poner en marcha los Comités Técnicos Intersectoriales de Política Pública (Alistamiento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Secretarios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br/>
                    <w:t>* Acto Administrativo de conformación del Comité técnico intersectorial</w:t>
                  </w:r>
                  <w:r w:rsidRPr="008C42B4">
                    <w:rPr>
                      <w:rFonts w:ascii="Calibri" w:eastAsia="Times New Roman" w:hAnsi="Calibri" w:cs="Times New Roman"/>
                      <w:lang w:eastAsia="es-ES"/>
                    </w:rPr>
                    <w:br/>
                    <w:t>* Registro de Asistencia del Comité técnico intersectorial</w:t>
                  </w:r>
                  <w:r w:rsidRPr="008C42B4">
                    <w:rPr>
                      <w:rFonts w:ascii="Calibri" w:eastAsia="Times New Roman" w:hAnsi="Calibri" w:cs="Times New Roman"/>
                      <w:lang w:eastAsia="es-ES"/>
                    </w:rPr>
                    <w:br/>
                    <w:t>* Acta de reunión del Comité donde conste la aprobación del Plan de acción del proceso de construcción de la política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Esta etapa incluye la conformación del comité intersectorial de apoyo a la Política, en caso que no exista, así como la formulación y validación del plan de acción por parte del Comité estratégico respectivo, en concordancia con el Decreto vigente. Para el caso de las Políticas de carácter social, esta se hará ante el Comité Social.</w:t>
                  </w:r>
                  <w:r w:rsidRPr="008C42B4">
                    <w:rPr>
                      <w:rFonts w:ascii="Calibri" w:eastAsia="Times New Roman" w:hAnsi="Calibri" w:cs="Times New Roman"/>
                      <w:lang w:eastAsia="es-ES"/>
                    </w:rPr>
                    <w:br/>
                  </w:r>
                  <w:r w:rsidRPr="008C42B4">
                    <w:rPr>
                      <w:rFonts w:ascii="Calibri" w:eastAsia="Times New Roman" w:hAnsi="Calibri" w:cs="Times New Roman"/>
                      <w:lang w:eastAsia="es-ES"/>
                    </w:rPr>
                    <w:br/>
                    <w:t>Para la conformación del Comité Técnico Intersectorial, el Secretario de Despacho responsable de la Política Pública, debe delegar una persona que se encargará de elaborar el Acto Administrativo, señalando las dependencias y/o Secretarías que deben conformar el Comité. </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Realizar diagnóstico situacional sectorial donde afectará la Política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Comites</w:t>
                  </w:r>
                  <w:proofErr w:type="spellEnd"/>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Tecnicos</w:t>
                  </w:r>
                  <w:proofErr w:type="spellEnd"/>
                  <w:r w:rsidRPr="008C42B4">
                    <w:rPr>
                      <w:rFonts w:ascii="Calibri" w:eastAsia="Times New Roman" w:hAnsi="Calibri" w:cs="Times New Roman"/>
                      <w:lang w:eastAsia="es-ES"/>
                    </w:rPr>
                    <w:t xml:space="preserve"> de </w:t>
                  </w:r>
                  <w:proofErr w:type="spellStart"/>
                  <w:r w:rsidRPr="008C42B4">
                    <w:rPr>
                      <w:rFonts w:ascii="Calibri" w:eastAsia="Times New Roman" w:hAnsi="Calibri" w:cs="Times New Roman"/>
                      <w:lang w:eastAsia="es-ES"/>
                    </w:rPr>
                    <w:t>Politicas</w:t>
                  </w:r>
                  <w:proofErr w:type="spellEnd"/>
                  <w:r w:rsidRPr="008C42B4">
                    <w:rPr>
                      <w:rFonts w:ascii="Calibri" w:eastAsia="Times New Roman" w:hAnsi="Calibri" w:cs="Times New Roman"/>
                      <w:lang w:eastAsia="es-ES"/>
                    </w:rPr>
                    <w:t xml:space="preserve"> Publicas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br/>
                    <w:t xml:space="preserve">Diagnóstico situacional sectorial de la </w:t>
                  </w:r>
                  <w:proofErr w:type="spellStart"/>
                  <w:r w:rsidRPr="008C42B4">
                    <w:rPr>
                      <w:rFonts w:ascii="Calibri" w:eastAsia="Times New Roman" w:hAnsi="Calibri" w:cs="Times New Roman"/>
                      <w:lang w:eastAsia="es-ES"/>
                    </w:rPr>
                    <w:t>Politica</w:t>
                  </w:r>
                  <w:proofErr w:type="spellEnd"/>
                  <w:r w:rsidRPr="008C42B4">
                    <w:rPr>
                      <w:rFonts w:ascii="Calibri" w:eastAsia="Times New Roman" w:hAnsi="Calibri" w:cs="Times New Roman"/>
                      <w:lang w:eastAsia="es-ES"/>
                    </w:rPr>
                    <w:t xml:space="preserve"> Publica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El Comité Intersectorial de apoyo a la Política, deberá participar y validar cada fase del proceso, entre ellas el diagnóstico situacional. Para esto se debe </w:t>
                  </w:r>
                  <w:r w:rsidRPr="008C42B4">
                    <w:rPr>
                      <w:rFonts w:ascii="Calibri" w:eastAsia="Times New Roman" w:hAnsi="Calibri" w:cs="Times New Roman"/>
                      <w:lang w:eastAsia="es-ES"/>
                    </w:rPr>
                    <w:lastRenderedPageBreak/>
                    <w:t xml:space="preserve">contratar una entidad de reconocida experiencia e idoneidad para hacer el acompañamiento técnico (Definir la estructura del </w:t>
                  </w:r>
                  <w:proofErr w:type="spellStart"/>
                  <w:r w:rsidRPr="008C42B4">
                    <w:rPr>
                      <w:rFonts w:ascii="Calibri" w:eastAsia="Times New Roman" w:hAnsi="Calibri" w:cs="Times New Roman"/>
                      <w:lang w:eastAsia="es-ES"/>
                    </w:rPr>
                    <w:t>diagnostico</w:t>
                  </w:r>
                  <w:proofErr w:type="spellEnd"/>
                  <w:r w:rsidRPr="008C42B4">
                    <w:rPr>
                      <w:rFonts w:ascii="Calibri" w:eastAsia="Times New Roman" w:hAnsi="Calibri" w:cs="Times New Roman"/>
                      <w:lang w:eastAsia="es-ES"/>
                    </w:rPr>
                    <w:t xml:space="preserve">, el tipo de información requerida y las fuentes de información, el diseño metodológico para el </w:t>
                  </w:r>
                  <w:proofErr w:type="spellStart"/>
                  <w:r w:rsidRPr="008C42B4">
                    <w:rPr>
                      <w:rFonts w:ascii="Calibri" w:eastAsia="Times New Roman" w:hAnsi="Calibri" w:cs="Times New Roman"/>
                      <w:lang w:eastAsia="es-ES"/>
                    </w:rPr>
                    <w:t>analisis</w:t>
                  </w:r>
                  <w:proofErr w:type="spellEnd"/>
                  <w:r w:rsidRPr="008C42B4">
                    <w:rPr>
                      <w:rFonts w:ascii="Calibri" w:eastAsia="Times New Roman" w:hAnsi="Calibri" w:cs="Times New Roman"/>
                      <w:lang w:eastAsia="es-ES"/>
                    </w:rPr>
                    <w:t xml:space="preserve"> de la información, así como el enfoque investigativo que se aplicará). </w:t>
                  </w:r>
                  <w:r w:rsidRPr="008C42B4">
                    <w:rPr>
                      <w:rFonts w:ascii="Calibri" w:eastAsia="Times New Roman" w:hAnsi="Calibri" w:cs="Times New Roman"/>
                      <w:lang w:eastAsia="es-ES"/>
                    </w:rPr>
                    <w:br/>
                    <w:t>El abordaje de las situaciones más relevantes deberá acompañarse de datos estadísticos, los cuales se constituirán en la línea de base para la definición de los indicadores con los cuales se hará seguimiento y evaluación de la Política.  </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lastRenderedPageBreak/>
                    <w:t>Construir la política a partir de la gestión y ejecución del proceso de movilización ciudadana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Comites</w:t>
                  </w:r>
                  <w:proofErr w:type="spellEnd"/>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Tecnicos</w:t>
                  </w:r>
                  <w:proofErr w:type="spellEnd"/>
                  <w:r w:rsidRPr="008C42B4">
                    <w:rPr>
                      <w:rFonts w:ascii="Calibri" w:eastAsia="Times New Roman" w:hAnsi="Calibri" w:cs="Times New Roman"/>
                      <w:lang w:eastAsia="es-ES"/>
                    </w:rPr>
                    <w:t xml:space="preserve"> de </w:t>
                  </w:r>
                  <w:proofErr w:type="spellStart"/>
                  <w:r w:rsidRPr="008C42B4">
                    <w:rPr>
                      <w:rFonts w:ascii="Calibri" w:eastAsia="Times New Roman" w:hAnsi="Calibri" w:cs="Times New Roman"/>
                      <w:lang w:eastAsia="es-ES"/>
                    </w:rPr>
                    <w:t>Politicas</w:t>
                  </w:r>
                  <w:proofErr w:type="spellEnd"/>
                  <w:r w:rsidRPr="008C42B4">
                    <w:rPr>
                      <w:rFonts w:ascii="Calibri" w:eastAsia="Times New Roman" w:hAnsi="Calibri" w:cs="Times New Roman"/>
                      <w:lang w:eastAsia="es-ES"/>
                    </w:rPr>
                    <w:t xml:space="preserve"> Publicas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br/>
                    <w:t>Memorias y registros de asistencia de los talleres adelantados, material y registros auditivos y visuales del plan de medios adelantado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Se debe desarrollar un componente de comunicación con el fin de convocar el mayor número de actores sociales, para lo cual el </w:t>
                  </w:r>
                  <w:proofErr w:type="spellStart"/>
                  <w:r w:rsidRPr="008C42B4">
                    <w:rPr>
                      <w:rFonts w:ascii="Calibri" w:eastAsia="Times New Roman" w:hAnsi="Calibri" w:cs="Times New Roman"/>
                      <w:lang w:eastAsia="es-ES"/>
                    </w:rPr>
                    <w:t>el</w:t>
                  </w:r>
                  <w:proofErr w:type="spellEnd"/>
                  <w:r w:rsidRPr="008C42B4">
                    <w:rPr>
                      <w:rFonts w:ascii="Calibri" w:eastAsia="Times New Roman" w:hAnsi="Calibri" w:cs="Times New Roman"/>
                      <w:lang w:eastAsia="es-ES"/>
                    </w:rPr>
                    <w:t xml:space="preserve"> Comité Intersectorial debe realizar talleres con los actores de la comunidad convocados para la movilización ciudadana y debe definir los </w:t>
                  </w:r>
                  <w:r w:rsidRPr="008C42B4">
                    <w:rPr>
                      <w:rFonts w:ascii="Calibri" w:eastAsia="Times New Roman" w:hAnsi="Calibri" w:cs="Times New Roman"/>
                      <w:lang w:eastAsia="es-ES"/>
                    </w:rPr>
                    <w:lastRenderedPageBreak/>
                    <w:t>momentos del proceso en los cuales participarán los agentes formados con el fin de: </w:t>
                  </w:r>
                  <w:r w:rsidRPr="008C42B4">
                    <w:rPr>
                      <w:rFonts w:ascii="Calibri" w:eastAsia="Times New Roman" w:hAnsi="Calibri" w:cs="Times New Roman"/>
                      <w:lang w:eastAsia="es-ES"/>
                    </w:rPr>
                    <w:br/>
                  </w:r>
                  <w:r w:rsidRPr="008C42B4">
                    <w:rPr>
                      <w:rFonts w:ascii="Calibri" w:eastAsia="Times New Roman" w:hAnsi="Calibri" w:cs="Times New Roman"/>
                      <w:lang w:eastAsia="es-ES"/>
                    </w:rPr>
                    <w:br/>
                    <w:t>1) Validar diagnósticos </w:t>
                  </w:r>
                  <w:r w:rsidRPr="008C42B4">
                    <w:rPr>
                      <w:rFonts w:ascii="Calibri" w:eastAsia="Times New Roman" w:hAnsi="Calibri" w:cs="Times New Roman"/>
                      <w:lang w:eastAsia="es-ES"/>
                    </w:rPr>
                    <w:br/>
                    <w:t>2) Formular líneas estratégicas de política </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lastRenderedPageBreak/>
                    <w:t xml:space="preserve">Sistematizar permanentemente el proceso (experiencia en la ruta de </w:t>
                  </w:r>
                  <w:proofErr w:type="spellStart"/>
                  <w:r w:rsidRPr="008C42B4">
                    <w:rPr>
                      <w:rFonts w:ascii="Calibri" w:eastAsia="Times New Roman" w:hAnsi="Calibri" w:cs="Times New Roman"/>
                      <w:lang w:eastAsia="es-ES"/>
                    </w:rPr>
                    <w:t>gestion</w:t>
                  </w:r>
                  <w:proofErr w:type="spellEnd"/>
                  <w:r w:rsidRPr="008C42B4">
                    <w:rPr>
                      <w:rFonts w:ascii="Calibri" w:eastAsia="Times New Roman" w:hAnsi="Calibri" w:cs="Times New Roman"/>
                      <w:lang w:eastAsia="es-ES"/>
                    </w:rPr>
                    <w:t xml:space="preserve"> de la </w:t>
                  </w:r>
                  <w:proofErr w:type="spellStart"/>
                  <w:r w:rsidRPr="008C42B4">
                    <w:rPr>
                      <w:rFonts w:ascii="Calibri" w:eastAsia="Times New Roman" w:hAnsi="Calibri" w:cs="Times New Roman"/>
                      <w:lang w:eastAsia="es-ES"/>
                    </w:rPr>
                    <w:t>Politica</w:t>
                  </w:r>
                  <w:proofErr w:type="spellEnd"/>
                  <w:r w:rsidRPr="008C42B4">
                    <w:rPr>
                      <w:rFonts w:ascii="Calibri" w:eastAsia="Times New Roman" w:hAnsi="Calibri" w:cs="Times New Roman"/>
                      <w:lang w:eastAsia="es-ES"/>
                    </w:rPr>
                    <w:t xml:space="preserve"> Publica)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Comites</w:t>
                  </w:r>
                  <w:proofErr w:type="spellEnd"/>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Tecnicos</w:t>
                  </w:r>
                  <w:proofErr w:type="spellEnd"/>
                  <w:r w:rsidRPr="008C42B4">
                    <w:rPr>
                      <w:rFonts w:ascii="Calibri" w:eastAsia="Times New Roman" w:hAnsi="Calibri" w:cs="Times New Roman"/>
                      <w:lang w:eastAsia="es-ES"/>
                    </w:rPr>
                    <w:t xml:space="preserve"> de </w:t>
                  </w:r>
                  <w:proofErr w:type="spellStart"/>
                  <w:r w:rsidRPr="008C42B4">
                    <w:rPr>
                      <w:rFonts w:ascii="Calibri" w:eastAsia="Times New Roman" w:hAnsi="Calibri" w:cs="Times New Roman"/>
                      <w:lang w:eastAsia="es-ES"/>
                    </w:rPr>
                    <w:t>Politicas</w:t>
                  </w:r>
                  <w:proofErr w:type="spellEnd"/>
                  <w:r w:rsidRPr="008C42B4">
                    <w:rPr>
                      <w:rFonts w:ascii="Calibri" w:eastAsia="Times New Roman" w:hAnsi="Calibri" w:cs="Times New Roman"/>
                      <w:lang w:eastAsia="es-ES"/>
                    </w:rPr>
                    <w:t xml:space="preserve"> Publicas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br/>
                    <w:t>Documentos elaborados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Se debe sistematizar el proceso, según la definición de la metodología, la conformación del equipo intersectorial y la vinculación de la entidad de apoyo. </w:t>
                  </w:r>
                  <w:r w:rsidRPr="008C42B4">
                    <w:rPr>
                      <w:rFonts w:ascii="Calibri" w:eastAsia="Times New Roman" w:hAnsi="Calibri" w:cs="Times New Roman"/>
                      <w:lang w:eastAsia="es-ES"/>
                    </w:rPr>
                    <w:br/>
                    <w:t xml:space="preserve">El objetivo de realizar la sistematización es registrar, de manera ordenada, secuencial, permanente y acumulativa los aspectos más relevantes de todo el desarrollo del Plan de acción establecido para la construcción de la Política </w:t>
                  </w:r>
                  <w:proofErr w:type="spellStart"/>
                  <w:r w:rsidRPr="008C42B4">
                    <w:rPr>
                      <w:rFonts w:ascii="Calibri" w:eastAsia="Times New Roman" w:hAnsi="Calibri" w:cs="Times New Roman"/>
                      <w:lang w:eastAsia="es-ES"/>
                    </w:rPr>
                    <w:t>Publica</w:t>
                  </w:r>
                  <w:proofErr w:type="spellEnd"/>
                  <w:r w:rsidRPr="008C42B4">
                    <w:rPr>
                      <w:rFonts w:ascii="Calibri" w:eastAsia="Times New Roman" w:hAnsi="Calibri" w:cs="Times New Roman"/>
                      <w:lang w:eastAsia="es-ES"/>
                    </w:rPr>
                    <w:t>. </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Elaborar y legalizar el acto administrativo de adopción de la política pública mediante Acuerdo y/o Decreto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Comites</w:t>
                  </w:r>
                  <w:proofErr w:type="spellEnd"/>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Tecnicos</w:t>
                  </w:r>
                  <w:proofErr w:type="spellEnd"/>
                  <w:r w:rsidRPr="008C42B4">
                    <w:rPr>
                      <w:rFonts w:ascii="Calibri" w:eastAsia="Times New Roman" w:hAnsi="Calibri" w:cs="Times New Roman"/>
                      <w:lang w:eastAsia="es-ES"/>
                    </w:rPr>
                    <w:t xml:space="preserve"> de </w:t>
                  </w:r>
                  <w:proofErr w:type="spellStart"/>
                  <w:r w:rsidRPr="008C42B4">
                    <w:rPr>
                      <w:rFonts w:ascii="Calibri" w:eastAsia="Times New Roman" w:hAnsi="Calibri" w:cs="Times New Roman"/>
                      <w:lang w:eastAsia="es-ES"/>
                    </w:rPr>
                    <w:t>Politicas</w:t>
                  </w:r>
                  <w:proofErr w:type="spellEnd"/>
                  <w:r w:rsidRPr="008C42B4">
                    <w:rPr>
                      <w:rFonts w:ascii="Calibri" w:eastAsia="Times New Roman" w:hAnsi="Calibri" w:cs="Times New Roman"/>
                      <w:lang w:eastAsia="es-ES"/>
                    </w:rPr>
                    <w:t xml:space="preserve"> Publicas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br/>
                    <w:t>Acto administrativo aprobado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Presentar a la secretaría jurídica el proyecto de acuerdo de aprobación de la política o el borrador de decreto para su respectiva revisión y aprobación.  </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Entregar y publicar de los resultados del proceso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Comites</w:t>
                  </w:r>
                  <w:proofErr w:type="spellEnd"/>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Tecnicos</w:t>
                  </w:r>
                  <w:proofErr w:type="spellEnd"/>
                  <w:r w:rsidRPr="008C42B4">
                    <w:rPr>
                      <w:rFonts w:ascii="Calibri" w:eastAsia="Times New Roman" w:hAnsi="Calibri" w:cs="Times New Roman"/>
                      <w:lang w:eastAsia="es-ES"/>
                    </w:rPr>
                    <w:t xml:space="preserve"> de </w:t>
                  </w:r>
                  <w:proofErr w:type="spellStart"/>
                  <w:r w:rsidRPr="008C42B4">
                    <w:rPr>
                      <w:rFonts w:ascii="Calibri" w:eastAsia="Times New Roman" w:hAnsi="Calibri" w:cs="Times New Roman"/>
                      <w:lang w:eastAsia="es-ES"/>
                    </w:rPr>
                    <w:t>Politicas</w:t>
                  </w:r>
                  <w:proofErr w:type="spellEnd"/>
                  <w:r w:rsidRPr="008C42B4">
                    <w:rPr>
                      <w:rFonts w:ascii="Calibri" w:eastAsia="Times New Roman" w:hAnsi="Calibri" w:cs="Times New Roman"/>
                      <w:lang w:eastAsia="es-ES"/>
                    </w:rPr>
                    <w:t xml:space="preserve"> Publicas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br/>
                    <w:t xml:space="preserve">- Evento de socialización de </w:t>
                  </w:r>
                  <w:r w:rsidRPr="008C42B4">
                    <w:rPr>
                      <w:rFonts w:ascii="Calibri" w:eastAsia="Times New Roman" w:hAnsi="Calibri" w:cs="Times New Roman"/>
                      <w:lang w:eastAsia="es-ES"/>
                    </w:rPr>
                    <w:lastRenderedPageBreak/>
                    <w:t>resultados</w:t>
                  </w:r>
                  <w:r w:rsidRPr="008C42B4">
                    <w:rPr>
                      <w:rFonts w:ascii="Calibri" w:eastAsia="Times New Roman" w:hAnsi="Calibri" w:cs="Times New Roman"/>
                      <w:lang w:eastAsia="es-ES"/>
                    </w:rPr>
                    <w:br/>
                    <w:t>- Libro publicado en físico o en la Página WEB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lastRenderedPageBreak/>
                    <w:t xml:space="preserve">La estructura del documento de política pública debe contener </w:t>
                  </w:r>
                  <w:r w:rsidRPr="008C42B4">
                    <w:rPr>
                      <w:rFonts w:ascii="Calibri" w:eastAsia="Times New Roman" w:hAnsi="Calibri" w:cs="Times New Roman"/>
                      <w:lang w:eastAsia="es-ES"/>
                    </w:rPr>
                    <w:lastRenderedPageBreak/>
                    <w:t>los siguientes capítulos : Diagnóstico situacional, Fundamento conceptual y normativo de la Política, Objetivos de la Política, Líneas Estratégicas de la Política, plan de acción , Sistema de Seguimiento y Evaluación de la Política y marco institucional. </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lastRenderedPageBreak/>
                    <w:t>Elaborar y legalizar la Resolución para adoptar el Plan de Acción de la Política Publica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Comites</w:t>
                  </w:r>
                  <w:proofErr w:type="spellEnd"/>
                  <w:r w:rsidRPr="008C42B4">
                    <w:rPr>
                      <w:rFonts w:ascii="Calibri" w:eastAsia="Times New Roman" w:hAnsi="Calibri" w:cs="Times New Roman"/>
                      <w:lang w:eastAsia="es-ES"/>
                    </w:rPr>
                    <w:t xml:space="preserve"> </w:t>
                  </w:r>
                  <w:proofErr w:type="spellStart"/>
                  <w:r w:rsidRPr="008C42B4">
                    <w:rPr>
                      <w:rFonts w:ascii="Calibri" w:eastAsia="Times New Roman" w:hAnsi="Calibri" w:cs="Times New Roman"/>
                      <w:lang w:eastAsia="es-ES"/>
                    </w:rPr>
                    <w:t>Tecnicos</w:t>
                  </w:r>
                  <w:proofErr w:type="spellEnd"/>
                  <w:r w:rsidRPr="008C42B4">
                    <w:rPr>
                      <w:rFonts w:ascii="Calibri" w:eastAsia="Times New Roman" w:hAnsi="Calibri" w:cs="Times New Roman"/>
                      <w:lang w:eastAsia="es-ES"/>
                    </w:rPr>
                    <w:t xml:space="preserve"> de </w:t>
                  </w:r>
                  <w:proofErr w:type="spellStart"/>
                  <w:r w:rsidRPr="008C42B4">
                    <w:rPr>
                      <w:rFonts w:ascii="Calibri" w:eastAsia="Times New Roman" w:hAnsi="Calibri" w:cs="Times New Roman"/>
                      <w:lang w:eastAsia="es-ES"/>
                    </w:rPr>
                    <w:t>Politicas</w:t>
                  </w:r>
                  <w:proofErr w:type="spellEnd"/>
                  <w:r w:rsidRPr="008C42B4">
                    <w:rPr>
                      <w:rFonts w:ascii="Calibri" w:eastAsia="Times New Roman" w:hAnsi="Calibri" w:cs="Times New Roman"/>
                      <w:lang w:eastAsia="es-ES"/>
                    </w:rPr>
                    <w:t xml:space="preserve"> Publicas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hyperlink r:id="rId27" w:history="1">
                    <w:r w:rsidRPr="008C42B4">
                      <w:rPr>
                        <w:rFonts w:ascii="Calibri" w:eastAsia="Times New Roman" w:hAnsi="Calibri" w:cs="Times New Roman"/>
                        <w:color w:val="0000FF"/>
                        <w:u w:val="single"/>
                        <w:lang w:eastAsia="es-ES"/>
                      </w:rPr>
                      <w:t>- Plan de Acción Cuatrienal para la Implementación de Políticas Públicas en el Municipio de Manizales</w:t>
                    </w:r>
                  </w:hyperlink>
                  <w:r w:rsidRPr="008C42B4">
                    <w:rPr>
                      <w:rFonts w:ascii="Calibri" w:eastAsia="Times New Roman" w:hAnsi="Calibri" w:cs="Times New Roman"/>
                      <w:lang w:eastAsia="es-ES"/>
                    </w:rPr>
                    <w:br/>
                    <w:t>- Resolución de adopción del Plan de Acción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 xml:space="preserve">El Plan de Acción Cuatrienal para la implementación de la Política Pública, deberá ser adoptado por Acto Administrativo dentro de los 60 días </w:t>
                  </w:r>
                  <w:proofErr w:type="gramStart"/>
                  <w:r w:rsidRPr="008C42B4">
                    <w:rPr>
                      <w:rFonts w:ascii="Calibri" w:eastAsia="Times New Roman" w:hAnsi="Calibri" w:cs="Times New Roman"/>
                      <w:lang w:eastAsia="es-ES"/>
                    </w:rPr>
                    <w:t>calendario siguientes</w:t>
                  </w:r>
                  <w:proofErr w:type="gramEnd"/>
                  <w:r w:rsidRPr="008C42B4">
                    <w:rPr>
                      <w:rFonts w:ascii="Calibri" w:eastAsia="Times New Roman" w:hAnsi="Calibri" w:cs="Times New Roman"/>
                      <w:lang w:eastAsia="es-ES"/>
                    </w:rPr>
                    <w:t xml:space="preserve"> a la fecha de publicación de dicho Decreto o Acuerdo.  </w:t>
                  </w: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8. CONTENIDO</w:t>
                  </w:r>
                </w:p>
              </w:tc>
            </w:tr>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C42B4" w:rsidRPr="008C42B4">
              <w:trPr>
                <w:tblCellSpacing w:w="0" w:type="dxa"/>
                <w:jc w:val="center"/>
              </w:trPr>
              <w:tc>
                <w:tcPr>
                  <w:tcW w:w="0" w:type="auto"/>
                  <w:vAlign w:val="center"/>
                  <w:hideMark/>
                </w:tcPr>
                <w:p w:rsidR="008C42B4" w:rsidRPr="008C42B4" w:rsidRDefault="008C42B4" w:rsidP="008C42B4">
                  <w:pPr>
                    <w:spacing w:after="0" w:line="240" w:lineRule="auto"/>
                    <w:jc w:val="both"/>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LISTA DE VERSIONES</w:t>
                  </w:r>
                </w:p>
              </w:tc>
            </w:tr>
            <w:tr w:rsidR="008C42B4" w:rsidRPr="008C42B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8C42B4" w:rsidRPr="008C42B4">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C42B4" w:rsidRPr="008C42B4" w:rsidRDefault="008C42B4" w:rsidP="008C42B4">
                        <w:pPr>
                          <w:spacing w:after="0" w:line="240" w:lineRule="auto"/>
                          <w:jc w:val="center"/>
                          <w:rPr>
                            <w:rFonts w:ascii="Calibri" w:eastAsia="Times New Roman" w:hAnsi="Calibri" w:cs="Times New Roman"/>
                            <w:b/>
                            <w:bCs/>
                            <w:color w:val="FFFFFF"/>
                            <w:sz w:val="24"/>
                            <w:szCs w:val="24"/>
                            <w:lang w:eastAsia="es-ES"/>
                          </w:rPr>
                        </w:pPr>
                        <w:r w:rsidRPr="008C42B4">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C42B4" w:rsidRPr="008C42B4" w:rsidRDefault="008C42B4" w:rsidP="008C42B4">
                        <w:pPr>
                          <w:spacing w:after="0" w:line="240" w:lineRule="auto"/>
                          <w:jc w:val="center"/>
                          <w:rPr>
                            <w:rFonts w:ascii="Calibri" w:eastAsia="Times New Roman" w:hAnsi="Calibri" w:cs="Times New Roman"/>
                            <w:b/>
                            <w:bCs/>
                            <w:color w:val="FFFFFF"/>
                            <w:sz w:val="24"/>
                            <w:szCs w:val="24"/>
                            <w:lang w:eastAsia="es-ES"/>
                          </w:rPr>
                        </w:pPr>
                        <w:r w:rsidRPr="008C42B4">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C42B4" w:rsidRPr="008C42B4" w:rsidRDefault="008C42B4" w:rsidP="008C42B4">
                        <w:pPr>
                          <w:spacing w:after="0" w:line="240" w:lineRule="auto"/>
                          <w:jc w:val="center"/>
                          <w:rPr>
                            <w:rFonts w:ascii="Calibri" w:eastAsia="Times New Roman" w:hAnsi="Calibri" w:cs="Times New Roman"/>
                            <w:b/>
                            <w:bCs/>
                            <w:color w:val="FFFFFF"/>
                            <w:sz w:val="24"/>
                            <w:szCs w:val="24"/>
                            <w:lang w:eastAsia="es-ES"/>
                          </w:rPr>
                        </w:pPr>
                        <w:r w:rsidRPr="008C42B4">
                          <w:rPr>
                            <w:rFonts w:ascii="Calibri" w:eastAsia="Times New Roman" w:hAnsi="Calibri" w:cs="Times New Roman"/>
                            <w:b/>
                            <w:bCs/>
                            <w:color w:val="FFFFFF"/>
                            <w:sz w:val="24"/>
                            <w:szCs w:val="24"/>
                            <w:lang w:eastAsia="es-ES"/>
                          </w:rPr>
                          <w:t>RAZÓN DE LA ACTUALIZACIÓN</w:t>
                        </w:r>
                      </w:p>
                    </w:tc>
                  </w:tr>
                  <w:tr w:rsidR="008C42B4" w:rsidRPr="008C42B4">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C42B4" w:rsidRPr="008C42B4" w:rsidRDefault="008C42B4" w:rsidP="008C42B4">
                        <w:pPr>
                          <w:spacing w:after="0" w:line="240" w:lineRule="auto"/>
                          <w:jc w:val="center"/>
                          <w:rPr>
                            <w:rFonts w:ascii="Calibri" w:eastAsia="Times New Roman" w:hAnsi="Calibri" w:cs="Times New Roman"/>
                            <w:lang w:eastAsia="es-ES"/>
                          </w:rPr>
                        </w:pPr>
                        <w:r w:rsidRPr="008C42B4">
                          <w:rPr>
                            <w:rFonts w:ascii="Calibri" w:eastAsia="Times New Roman" w:hAnsi="Calibri" w:cs="Times New Roman"/>
                            <w:lang w:eastAsia="es-ES"/>
                          </w:rPr>
                          <w:t>3</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14/</w:t>
                        </w:r>
                        <w:proofErr w:type="spellStart"/>
                        <w:r w:rsidRPr="008C42B4">
                          <w:rPr>
                            <w:rFonts w:ascii="Calibri" w:eastAsia="Times New Roman" w:hAnsi="Calibri" w:cs="Times New Roman"/>
                            <w:lang w:eastAsia="es-ES"/>
                          </w:rPr>
                          <w:t>Sep</w:t>
                        </w:r>
                        <w:proofErr w:type="spellEnd"/>
                        <w:r w:rsidRPr="008C42B4">
                          <w:rPr>
                            <w:rFonts w:ascii="Calibri" w:eastAsia="Times New Roman" w:hAnsi="Calibri" w:cs="Times New Roman"/>
                            <w:lang w:eastAsia="es-ES"/>
                          </w:rPr>
                          <w:t>/2017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8C42B4" w:rsidRPr="008C42B4" w:rsidRDefault="008C42B4" w:rsidP="008C42B4">
                        <w:pPr>
                          <w:spacing w:after="0" w:line="240" w:lineRule="auto"/>
                          <w:jc w:val="both"/>
                          <w:rPr>
                            <w:rFonts w:ascii="Calibri" w:eastAsia="Times New Roman" w:hAnsi="Calibri" w:cs="Times New Roman"/>
                            <w:lang w:eastAsia="es-ES"/>
                          </w:rPr>
                        </w:pPr>
                        <w:r w:rsidRPr="008C42B4">
                          <w:rPr>
                            <w:rFonts w:ascii="Calibri" w:eastAsia="Times New Roman" w:hAnsi="Calibri" w:cs="Times New Roman"/>
                            <w:lang w:eastAsia="es-ES"/>
                          </w:rPr>
                          <w:t>Se complementa la Legislación y las definiciones del procedimiento. Se especifican la planeación cuatrienal, la anual y el cronograma de trabajo y plan de acción de las Políticas Publicas. Se incluye la obligatoriedad del acto administrativo para adoptar el Plan de Acción.</w:t>
                        </w:r>
                      </w:p>
                    </w:tc>
                  </w:tr>
                </w:tbl>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r w:rsidR="008C42B4" w:rsidRPr="008C42B4" w:rsidTr="008C42B4">
        <w:trPr>
          <w:trHeight w:val="225"/>
          <w:tblCellSpacing w:w="15" w:type="dxa"/>
          <w:jc w:val="center"/>
        </w:trPr>
        <w:tc>
          <w:tcPr>
            <w:tcW w:w="0" w:type="auto"/>
            <w:vAlign w:val="center"/>
            <w:hideMark/>
          </w:tcPr>
          <w:p w:rsidR="008C42B4" w:rsidRPr="008C42B4" w:rsidRDefault="008C42B4" w:rsidP="008C42B4">
            <w:pPr>
              <w:spacing w:after="0" w:line="240" w:lineRule="auto"/>
              <w:rPr>
                <w:rFonts w:ascii="Times New Roman" w:eastAsia="Times New Roman" w:hAnsi="Times New Roman" w:cs="Times New Roman"/>
                <w:szCs w:val="24"/>
                <w:lang w:eastAsia="es-ES"/>
              </w:rPr>
            </w:pPr>
          </w:p>
        </w:tc>
      </w:tr>
      <w:tr w:rsidR="008C42B4" w:rsidRPr="008C42B4" w:rsidTr="008C42B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8C42B4" w:rsidRPr="008C42B4">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center"/>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center"/>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C42B4" w:rsidRPr="008C42B4" w:rsidRDefault="008C42B4" w:rsidP="008C42B4">
                  <w:pPr>
                    <w:spacing w:after="0" w:line="240" w:lineRule="auto"/>
                    <w:jc w:val="center"/>
                    <w:rPr>
                      <w:rFonts w:ascii="Calibri" w:eastAsia="Times New Roman" w:hAnsi="Calibri" w:cs="Times New Roman"/>
                      <w:b/>
                      <w:bCs/>
                      <w:color w:val="000000"/>
                      <w:sz w:val="24"/>
                      <w:szCs w:val="24"/>
                      <w:lang w:eastAsia="es-ES"/>
                    </w:rPr>
                  </w:pPr>
                  <w:r w:rsidRPr="008C42B4">
                    <w:rPr>
                      <w:rFonts w:ascii="Calibri" w:eastAsia="Times New Roman" w:hAnsi="Calibri" w:cs="Times New Roman"/>
                      <w:b/>
                      <w:bCs/>
                      <w:color w:val="000000"/>
                      <w:sz w:val="24"/>
                      <w:szCs w:val="24"/>
                      <w:lang w:eastAsia="es-ES"/>
                    </w:rPr>
                    <w:t>APROBÓ</w:t>
                  </w:r>
                </w:p>
              </w:tc>
            </w:tr>
            <w:tr w:rsidR="008C42B4" w:rsidRPr="008C42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8C42B4" w:rsidRPr="008C42B4">
                    <w:trPr>
                      <w:tblCellSpacing w:w="15" w:type="dxa"/>
                    </w:trPr>
                    <w:tc>
                      <w:tcPr>
                        <w:tcW w:w="1250" w:type="pct"/>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b/>
                            <w:bCs/>
                            <w:color w:val="000000"/>
                            <w:lang w:eastAsia="es-ES"/>
                          </w:rPr>
                          <w:t>Nombre:</w:t>
                        </w:r>
                      </w:p>
                    </w:tc>
                    <w:tc>
                      <w:tcPr>
                        <w:tcW w:w="3750" w:type="pct"/>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color w:val="000000"/>
                            <w:lang w:eastAsia="es-ES"/>
                          </w:rPr>
                          <w:t>Leandra Meza Uribe</w:t>
                        </w:r>
                      </w:p>
                    </w:tc>
                  </w:tr>
                  <w:tr w:rsidR="008C42B4" w:rsidRPr="008C42B4">
                    <w:trPr>
                      <w:tblCellSpacing w:w="15" w:type="dxa"/>
                    </w:trPr>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b/>
                            <w:bCs/>
                            <w:color w:val="000000"/>
                            <w:lang w:eastAsia="es-ES"/>
                          </w:rPr>
                          <w:lastRenderedPageBreak/>
                          <w:t>Cargo:</w:t>
                        </w:r>
                      </w:p>
                    </w:tc>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color w:val="000000"/>
                            <w:lang w:eastAsia="es-ES"/>
                          </w:rPr>
                          <w:t>Profesional Universitario</w:t>
                        </w:r>
                      </w:p>
                    </w:tc>
                  </w:tr>
                  <w:tr w:rsidR="008C42B4" w:rsidRPr="008C42B4">
                    <w:trPr>
                      <w:tblCellSpacing w:w="15" w:type="dxa"/>
                    </w:trPr>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b/>
                            <w:bCs/>
                            <w:color w:val="000000"/>
                            <w:lang w:eastAsia="es-ES"/>
                          </w:rPr>
                          <w:t>Fecha:</w:t>
                        </w:r>
                      </w:p>
                    </w:tc>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color w:val="000000"/>
                            <w:lang w:eastAsia="es-ES"/>
                          </w:rPr>
                          <w:t>14/</w:t>
                        </w:r>
                        <w:proofErr w:type="spellStart"/>
                        <w:r w:rsidRPr="008C42B4">
                          <w:rPr>
                            <w:rFonts w:ascii="Calibri" w:eastAsia="Times New Roman" w:hAnsi="Calibri" w:cs="Times New Roman"/>
                            <w:color w:val="000000"/>
                            <w:lang w:eastAsia="es-ES"/>
                          </w:rPr>
                          <w:t>Sep</w:t>
                        </w:r>
                        <w:proofErr w:type="spellEnd"/>
                        <w:r w:rsidRPr="008C42B4">
                          <w:rPr>
                            <w:rFonts w:ascii="Calibri" w:eastAsia="Times New Roman" w:hAnsi="Calibri" w:cs="Times New Roman"/>
                            <w:color w:val="000000"/>
                            <w:lang w:eastAsia="es-ES"/>
                          </w:rPr>
                          <w:t>/2017</w:t>
                        </w:r>
                      </w:p>
                    </w:tc>
                  </w:tr>
                </w:tbl>
                <w:p w:rsidR="008C42B4" w:rsidRPr="008C42B4" w:rsidRDefault="008C42B4" w:rsidP="008C42B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C42B4" w:rsidRPr="008C42B4">
                    <w:trPr>
                      <w:tblCellSpacing w:w="15" w:type="dxa"/>
                    </w:trPr>
                    <w:tc>
                      <w:tcPr>
                        <w:tcW w:w="1250" w:type="pct"/>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b/>
                            <w:bCs/>
                            <w:color w:val="000000"/>
                            <w:lang w:eastAsia="es-ES"/>
                          </w:rPr>
                          <w:lastRenderedPageBreak/>
                          <w:t>Nombre:</w:t>
                        </w:r>
                      </w:p>
                    </w:tc>
                    <w:tc>
                      <w:tcPr>
                        <w:tcW w:w="3750" w:type="pct"/>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color w:val="000000"/>
                            <w:lang w:eastAsia="es-ES"/>
                          </w:rPr>
                          <w:t xml:space="preserve">Clara </w:t>
                        </w:r>
                        <w:proofErr w:type="spellStart"/>
                        <w:r w:rsidRPr="008C42B4">
                          <w:rPr>
                            <w:rFonts w:ascii="Calibri" w:eastAsia="Times New Roman" w:hAnsi="Calibri" w:cs="Times New Roman"/>
                            <w:color w:val="000000"/>
                            <w:lang w:eastAsia="es-ES"/>
                          </w:rPr>
                          <w:t>Ines</w:t>
                        </w:r>
                        <w:proofErr w:type="spellEnd"/>
                        <w:r w:rsidRPr="008C42B4">
                          <w:rPr>
                            <w:rFonts w:ascii="Calibri" w:eastAsia="Times New Roman" w:hAnsi="Calibri" w:cs="Times New Roman"/>
                            <w:color w:val="000000"/>
                            <w:lang w:eastAsia="es-ES"/>
                          </w:rPr>
                          <w:t xml:space="preserve"> Restrepo Hurtado</w:t>
                        </w:r>
                      </w:p>
                    </w:tc>
                  </w:tr>
                  <w:tr w:rsidR="008C42B4" w:rsidRPr="008C42B4">
                    <w:trPr>
                      <w:tblCellSpacing w:w="15" w:type="dxa"/>
                    </w:trPr>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b/>
                            <w:bCs/>
                            <w:color w:val="000000"/>
                            <w:lang w:eastAsia="es-ES"/>
                          </w:rPr>
                          <w:lastRenderedPageBreak/>
                          <w:t>Cargo:</w:t>
                        </w:r>
                      </w:p>
                    </w:tc>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color w:val="000000"/>
                            <w:lang w:eastAsia="es-ES"/>
                          </w:rPr>
                          <w:t>Profesional Universitario</w:t>
                        </w:r>
                      </w:p>
                    </w:tc>
                  </w:tr>
                  <w:tr w:rsidR="008C42B4" w:rsidRPr="008C42B4">
                    <w:trPr>
                      <w:tblCellSpacing w:w="15" w:type="dxa"/>
                    </w:trPr>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b/>
                            <w:bCs/>
                            <w:color w:val="000000"/>
                            <w:lang w:eastAsia="es-ES"/>
                          </w:rPr>
                          <w:t>Fecha:</w:t>
                        </w:r>
                      </w:p>
                    </w:tc>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color w:val="000000"/>
                            <w:lang w:eastAsia="es-ES"/>
                          </w:rPr>
                          <w:t>18/</w:t>
                        </w:r>
                        <w:proofErr w:type="spellStart"/>
                        <w:r w:rsidRPr="008C42B4">
                          <w:rPr>
                            <w:rFonts w:ascii="Calibri" w:eastAsia="Times New Roman" w:hAnsi="Calibri" w:cs="Times New Roman"/>
                            <w:color w:val="000000"/>
                            <w:lang w:eastAsia="es-ES"/>
                          </w:rPr>
                          <w:t>Sep</w:t>
                        </w:r>
                        <w:proofErr w:type="spellEnd"/>
                        <w:r w:rsidRPr="008C42B4">
                          <w:rPr>
                            <w:rFonts w:ascii="Calibri" w:eastAsia="Times New Roman" w:hAnsi="Calibri" w:cs="Times New Roman"/>
                            <w:color w:val="000000"/>
                            <w:lang w:eastAsia="es-ES"/>
                          </w:rPr>
                          <w:t>/2017</w:t>
                        </w:r>
                      </w:p>
                    </w:tc>
                  </w:tr>
                </w:tbl>
                <w:p w:rsidR="008C42B4" w:rsidRPr="008C42B4" w:rsidRDefault="008C42B4" w:rsidP="008C42B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C42B4" w:rsidRPr="008C42B4">
                    <w:trPr>
                      <w:tblCellSpacing w:w="15" w:type="dxa"/>
                    </w:trPr>
                    <w:tc>
                      <w:tcPr>
                        <w:tcW w:w="1250" w:type="pct"/>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b/>
                            <w:bCs/>
                            <w:color w:val="000000"/>
                            <w:lang w:eastAsia="es-ES"/>
                          </w:rPr>
                          <w:lastRenderedPageBreak/>
                          <w:t>Nombre:</w:t>
                        </w:r>
                      </w:p>
                    </w:tc>
                    <w:tc>
                      <w:tcPr>
                        <w:tcW w:w="3750" w:type="pct"/>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color w:val="000000"/>
                            <w:lang w:eastAsia="es-ES"/>
                          </w:rPr>
                          <w:t xml:space="preserve">Guillermo </w:t>
                        </w:r>
                        <w:proofErr w:type="spellStart"/>
                        <w:r w:rsidRPr="008C42B4">
                          <w:rPr>
                            <w:rFonts w:ascii="Calibri" w:eastAsia="Times New Roman" w:hAnsi="Calibri" w:cs="Times New Roman"/>
                            <w:color w:val="000000"/>
                            <w:lang w:eastAsia="es-ES"/>
                          </w:rPr>
                          <w:t>Hernandez</w:t>
                        </w:r>
                        <w:proofErr w:type="spellEnd"/>
                        <w:r w:rsidRPr="008C42B4">
                          <w:rPr>
                            <w:rFonts w:ascii="Calibri" w:eastAsia="Times New Roman" w:hAnsi="Calibri" w:cs="Times New Roman"/>
                            <w:color w:val="000000"/>
                            <w:lang w:eastAsia="es-ES"/>
                          </w:rPr>
                          <w:t xml:space="preserve"> </w:t>
                        </w:r>
                        <w:proofErr w:type="spellStart"/>
                        <w:r w:rsidRPr="008C42B4">
                          <w:rPr>
                            <w:rFonts w:ascii="Calibri" w:eastAsia="Times New Roman" w:hAnsi="Calibri" w:cs="Times New Roman"/>
                            <w:color w:val="000000"/>
                            <w:lang w:eastAsia="es-ES"/>
                          </w:rPr>
                          <w:t>Gutierrez</w:t>
                        </w:r>
                        <w:proofErr w:type="spellEnd"/>
                      </w:p>
                    </w:tc>
                  </w:tr>
                  <w:tr w:rsidR="008C42B4" w:rsidRPr="008C42B4">
                    <w:trPr>
                      <w:tblCellSpacing w:w="15" w:type="dxa"/>
                    </w:trPr>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b/>
                            <w:bCs/>
                            <w:color w:val="000000"/>
                            <w:lang w:eastAsia="es-ES"/>
                          </w:rPr>
                          <w:lastRenderedPageBreak/>
                          <w:t>Cargo:</w:t>
                        </w:r>
                      </w:p>
                    </w:tc>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color w:val="000000"/>
                            <w:lang w:eastAsia="es-ES"/>
                          </w:rPr>
                          <w:t>Líder de Programa</w:t>
                        </w:r>
                      </w:p>
                    </w:tc>
                  </w:tr>
                  <w:tr w:rsidR="008C42B4" w:rsidRPr="008C42B4">
                    <w:trPr>
                      <w:tblCellSpacing w:w="15" w:type="dxa"/>
                    </w:trPr>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b/>
                            <w:bCs/>
                            <w:color w:val="000000"/>
                            <w:lang w:eastAsia="es-ES"/>
                          </w:rPr>
                          <w:t>Fecha:</w:t>
                        </w:r>
                      </w:p>
                    </w:tc>
                    <w:tc>
                      <w:tcPr>
                        <w:tcW w:w="0" w:type="auto"/>
                        <w:vAlign w:val="center"/>
                        <w:hideMark/>
                      </w:tcPr>
                      <w:p w:rsidR="008C42B4" w:rsidRPr="008C42B4" w:rsidRDefault="008C42B4" w:rsidP="008C42B4">
                        <w:pPr>
                          <w:spacing w:after="0" w:line="240" w:lineRule="auto"/>
                          <w:rPr>
                            <w:rFonts w:ascii="Calibri" w:eastAsia="Times New Roman" w:hAnsi="Calibri" w:cs="Times New Roman"/>
                            <w:color w:val="000000"/>
                            <w:lang w:eastAsia="es-ES"/>
                          </w:rPr>
                        </w:pPr>
                        <w:r w:rsidRPr="008C42B4">
                          <w:rPr>
                            <w:rFonts w:ascii="Calibri" w:eastAsia="Times New Roman" w:hAnsi="Calibri" w:cs="Times New Roman"/>
                            <w:color w:val="000000"/>
                            <w:lang w:eastAsia="es-ES"/>
                          </w:rPr>
                          <w:t>18/</w:t>
                        </w:r>
                        <w:proofErr w:type="spellStart"/>
                        <w:r w:rsidRPr="008C42B4">
                          <w:rPr>
                            <w:rFonts w:ascii="Calibri" w:eastAsia="Times New Roman" w:hAnsi="Calibri" w:cs="Times New Roman"/>
                            <w:color w:val="000000"/>
                            <w:lang w:eastAsia="es-ES"/>
                          </w:rPr>
                          <w:t>Sep</w:t>
                        </w:r>
                        <w:proofErr w:type="spellEnd"/>
                        <w:r w:rsidRPr="008C42B4">
                          <w:rPr>
                            <w:rFonts w:ascii="Calibri" w:eastAsia="Times New Roman" w:hAnsi="Calibri" w:cs="Times New Roman"/>
                            <w:color w:val="000000"/>
                            <w:lang w:eastAsia="es-ES"/>
                          </w:rPr>
                          <w:t>/2017</w:t>
                        </w:r>
                      </w:p>
                    </w:tc>
                  </w:tr>
                </w:tbl>
                <w:p w:rsidR="008C42B4" w:rsidRPr="008C42B4" w:rsidRDefault="008C42B4" w:rsidP="008C42B4">
                  <w:pPr>
                    <w:spacing w:after="0" w:line="240" w:lineRule="auto"/>
                    <w:jc w:val="both"/>
                    <w:rPr>
                      <w:rFonts w:ascii="Calibri" w:eastAsia="Times New Roman" w:hAnsi="Calibri" w:cs="Times New Roman"/>
                      <w:lang w:eastAsia="es-ES"/>
                    </w:rPr>
                  </w:pPr>
                </w:p>
              </w:tc>
            </w:tr>
          </w:tbl>
          <w:p w:rsidR="008C42B4" w:rsidRPr="008C42B4" w:rsidRDefault="008C42B4" w:rsidP="008C42B4">
            <w:pPr>
              <w:spacing w:after="0" w:line="240" w:lineRule="auto"/>
              <w:rPr>
                <w:rFonts w:ascii="Times New Roman" w:eastAsia="Times New Roman" w:hAnsi="Times New Roman" w:cs="Times New Roman"/>
                <w:sz w:val="24"/>
                <w:szCs w:val="24"/>
                <w:lang w:eastAsia="es-ES"/>
              </w:rPr>
            </w:pPr>
          </w:p>
        </w:tc>
      </w:tr>
    </w:tbl>
    <w:p w:rsidR="007F17DF" w:rsidRDefault="008C42B4"/>
    <w:sectPr w:rsidR="007F17DF" w:rsidSect="008C42B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B4"/>
    <w:rsid w:val="000106FC"/>
    <w:rsid w:val="001336B7"/>
    <w:rsid w:val="002D4109"/>
    <w:rsid w:val="00874852"/>
    <w:rsid w:val="00894079"/>
    <w:rsid w:val="008C42B4"/>
    <w:rsid w:val="0094203E"/>
    <w:rsid w:val="00B97795"/>
    <w:rsid w:val="00BB6CFF"/>
    <w:rsid w:val="00EA4177"/>
    <w:rsid w:val="00FB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8C42B4"/>
  </w:style>
  <w:style w:type="character" w:styleId="Hipervnculo">
    <w:name w:val="Hyperlink"/>
    <w:basedOn w:val="Fuentedeprrafopredeter"/>
    <w:uiPriority w:val="99"/>
    <w:semiHidden/>
    <w:unhideWhenUsed/>
    <w:rsid w:val="008C42B4"/>
    <w:rPr>
      <w:color w:val="0000FF"/>
      <w:u w:val="single"/>
    </w:rPr>
  </w:style>
  <w:style w:type="paragraph" w:styleId="Textodeglobo">
    <w:name w:val="Balloon Text"/>
    <w:basedOn w:val="Normal"/>
    <w:link w:val="TextodegloboCar"/>
    <w:uiPriority w:val="99"/>
    <w:semiHidden/>
    <w:unhideWhenUsed/>
    <w:rsid w:val="008C42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8C42B4"/>
  </w:style>
  <w:style w:type="character" w:styleId="Hipervnculo">
    <w:name w:val="Hyperlink"/>
    <w:basedOn w:val="Fuentedeprrafopredeter"/>
    <w:uiPriority w:val="99"/>
    <w:semiHidden/>
    <w:unhideWhenUsed/>
    <w:rsid w:val="008C42B4"/>
    <w:rPr>
      <w:color w:val="0000FF"/>
      <w:u w:val="single"/>
    </w:rPr>
  </w:style>
  <w:style w:type="paragraph" w:styleId="Textodeglobo">
    <w:name w:val="Balloon Text"/>
    <w:basedOn w:val="Normal"/>
    <w:link w:val="TextodegloboCar"/>
    <w:uiPriority w:val="99"/>
    <w:semiHidden/>
    <w:unhideWhenUsed/>
    <w:rsid w:val="008C42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6964">
      <w:bodyDiv w:val="1"/>
      <w:marLeft w:val="0"/>
      <w:marRight w:val="0"/>
      <w:marTop w:val="0"/>
      <w:marBottom w:val="0"/>
      <w:divBdr>
        <w:top w:val="none" w:sz="0" w:space="0" w:color="auto"/>
        <w:left w:val="none" w:sz="0" w:space="0" w:color="auto"/>
        <w:bottom w:val="none" w:sz="0" w:space="0" w:color="auto"/>
        <w:right w:val="none" w:sz="0" w:space="0" w:color="auto"/>
      </w:divBdr>
      <w:divsChild>
        <w:div w:id="178472069">
          <w:marLeft w:val="0"/>
          <w:marRight w:val="0"/>
          <w:marTop w:val="0"/>
          <w:marBottom w:val="0"/>
          <w:divBdr>
            <w:top w:val="none" w:sz="0" w:space="0" w:color="auto"/>
            <w:left w:val="none" w:sz="0" w:space="0" w:color="auto"/>
            <w:bottom w:val="none" w:sz="0" w:space="0" w:color="auto"/>
            <w:right w:val="none" w:sz="0" w:space="0" w:color="auto"/>
          </w:divBdr>
        </w:div>
        <w:div w:id="1292901077">
          <w:marLeft w:val="0"/>
          <w:marRight w:val="0"/>
          <w:marTop w:val="0"/>
          <w:marBottom w:val="0"/>
          <w:divBdr>
            <w:top w:val="none" w:sz="0" w:space="0" w:color="auto"/>
            <w:left w:val="none" w:sz="0" w:space="0" w:color="auto"/>
            <w:bottom w:val="none" w:sz="0" w:space="0" w:color="auto"/>
            <w:right w:val="none" w:sz="0" w:space="0" w:color="auto"/>
          </w:divBdr>
        </w:div>
        <w:div w:id="2035185479">
          <w:marLeft w:val="0"/>
          <w:marRight w:val="0"/>
          <w:marTop w:val="0"/>
          <w:marBottom w:val="0"/>
          <w:divBdr>
            <w:top w:val="none" w:sz="0" w:space="0" w:color="auto"/>
            <w:left w:val="none" w:sz="0" w:space="0" w:color="auto"/>
            <w:bottom w:val="none" w:sz="0" w:space="0" w:color="auto"/>
            <w:right w:val="none" w:sz="0" w:space="0" w:color="auto"/>
          </w:divBdr>
        </w:div>
        <w:div w:id="1551380035">
          <w:marLeft w:val="0"/>
          <w:marRight w:val="0"/>
          <w:marTop w:val="0"/>
          <w:marBottom w:val="0"/>
          <w:divBdr>
            <w:top w:val="none" w:sz="0" w:space="0" w:color="auto"/>
            <w:left w:val="none" w:sz="0" w:space="0" w:color="auto"/>
            <w:bottom w:val="none" w:sz="0" w:space="0" w:color="auto"/>
            <w:right w:val="none" w:sz="0" w:space="0" w:color="auto"/>
          </w:divBdr>
        </w:div>
        <w:div w:id="454638834">
          <w:marLeft w:val="0"/>
          <w:marRight w:val="0"/>
          <w:marTop w:val="0"/>
          <w:marBottom w:val="0"/>
          <w:divBdr>
            <w:top w:val="none" w:sz="0" w:space="0" w:color="auto"/>
            <w:left w:val="none" w:sz="0" w:space="0" w:color="auto"/>
            <w:bottom w:val="none" w:sz="0" w:space="0" w:color="auto"/>
            <w:right w:val="none" w:sz="0" w:space="0" w:color="auto"/>
          </w:divBdr>
        </w:div>
        <w:div w:id="1075787748">
          <w:marLeft w:val="0"/>
          <w:marRight w:val="0"/>
          <w:marTop w:val="0"/>
          <w:marBottom w:val="0"/>
          <w:divBdr>
            <w:top w:val="none" w:sz="0" w:space="0" w:color="auto"/>
            <w:left w:val="none" w:sz="0" w:space="0" w:color="auto"/>
            <w:bottom w:val="none" w:sz="0" w:space="0" w:color="auto"/>
            <w:right w:val="none" w:sz="0" w:space="0" w:color="auto"/>
          </w:divBdr>
        </w:div>
        <w:div w:id="505751748">
          <w:marLeft w:val="0"/>
          <w:marRight w:val="0"/>
          <w:marTop w:val="0"/>
          <w:marBottom w:val="0"/>
          <w:divBdr>
            <w:top w:val="none" w:sz="0" w:space="0" w:color="auto"/>
            <w:left w:val="none" w:sz="0" w:space="0" w:color="auto"/>
            <w:bottom w:val="none" w:sz="0" w:space="0" w:color="auto"/>
            <w:right w:val="none" w:sz="0" w:space="0" w:color="auto"/>
          </w:divBdr>
        </w:div>
        <w:div w:id="1228153805">
          <w:marLeft w:val="0"/>
          <w:marRight w:val="0"/>
          <w:marTop w:val="0"/>
          <w:marBottom w:val="0"/>
          <w:divBdr>
            <w:top w:val="none" w:sz="0" w:space="0" w:color="auto"/>
            <w:left w:val="none" w:sz="0" w:space="0" w:color="auto"/>
            <w:bottom w:val="none" w:sz="0" w:space="0" w:color="auto"/>
            <w:right w:val="none" w:sz="0" w:space="0" w:color="auto"/>
          </w:divBdr>
        </w:div>
        <w:div w:id="511532404">
          <w:marLeft w:val="0"/>
          <w:marRight w:val="0"/>
          <w:marTop w:val="0"/>
          <w:marBottom w:val="0"/>
          <w:divBdr>
            <w:top w:val="none" w:sz="0" w:space="0" w:color="auto"/>
            <w:left w:val="none" w:sz="0" w:space="0" w:color="auto"/>
            <w:bottom w:val="none" w:sz="0" w:space="0" w:color="auto"/>
            <w:right w:val="none" w:sz="0" w:space="0" w:color="auto"/>
          </w:divBdr>
        </w:div>
        <w:div w:id="2023236307">
          <w:marLeft w:val="0"/>
          <w:marRight w:val="0"/>
          <w:marTop w:val="0"/>
          <w:marBottom w:val="0"/>
          <w:divBdr>
            <w:top w:val="none" w:sz="0" w:space="0" w:color="auto"/>
            <w:left w:val="none" w:sz="0" w:space="0" w:color="auto"/>
            <w:bottom w:val="none" w:sz="0" w:space="0" w:color="auto"/>
            <w:right w:val="none" w:sz="0" w:space="0" w:color="auto"/>
          </w:divBdr>
        </w:div>
        <w:div w:id="1800997472">
          <w:marLeft w:val="0"/>
          <w:marRight w:val="0"/>
          <w:marTop w:val="0"/>
          <w:marBottom w:val="0"/>
          <w:divBdr>
            <w:top w:val="none" w:sz="0" w:space="0" w:color="auto"/>
            <w:left w:val="none" w:sz="0" w:space="0" w:color="auto"/>
            <w:bottom w:val="none" w:sz="0" w:space="0" w:color="auto"/>
            <w:right w:val="none" w:sz="0" w:space="0" w:color="auto"/>
          </w:divBdr>
        </w:div>
        <w:div w:id="2108234999">
          <w:marLeft w:val="0"/>
          <w:marRight w:val="0"/>
          <w:marTop w:val="0"/>
          <w:marBottom w:val="0"/>
          <w:divBdr>
            <w:top w:val="none" w:sz="0" w:space="0" w:color="auto"/>
            <w:left w:val="none" w:sz="0" w:space="0" w:color="auto"/>
            <w:bottom w:val="none" w:sz="0" w:space="0" w:color="auto"/>
            <w:right w:val="none" w:sz="0" w:space="0" w:color="auto"/>
          </w:divBdr>
        </w:div>
        <w:div w:id="1998872661">
          <w:marLeft w:val="0"/>
          <w:marRight w:val="0"/>
          <w:marTop w:val="0"/>
          <w:marBottom w:val="0"/>
          <w:divBdr>
            <w:top w:val="none" w:sz="0" w:space="0" w:color="auto"/>
            <w:left w:val="none" w:sz="0" w:space="0" w:color="auto"/>
            <w:bottom w:val="none" w:sz="0" w:space="0" w:color="auto"/>
            <w:right w:val="none" w:sz="0" w:space="0" w:color="auto"/>
          </w:divBdr>
        </w:div>
        <w:div w:id="846404267">
          <w:marLeft w:val="0"/>
          <w:marRight w:val="0"/>
          <w:marTop w:val="0"/>
          <w:marBottom w:val="0"/>
          <w:divBdr>
            <w:top w:val="none" w:sz="0" w:space="0" w:color="auto"/>
            <w:left w:val="none" w:sz="0" w:space="0" w:color="auto"/>
            <w:bottom w:val="none" w:sz="0" w:space="0" w:color="auto"/>
            <w:right w:val="none" w:sz="0" w:space="0" w:color="auto"/>
          </w:divBdr>
        </w:div>
        <w:div w:id="1818646675">
          <w:marLeft w:val="0"/>
          <w:marRight w:val="0"/>
          <w:marTop w:val="0"/>
          <w:marBottom w:val="0"/>
          <w:divBdr>
            <w:top w:val="none" w:sz="0" w:space="0" w:color="auto"/>
            <w:left w:val="none" w:sz="0" w:space="0" w:color="auto"/>
            <w:bottom w:val="none" w:sz="0" w:space="0" w:color="auto"/>
            <w:right w:val="none" w:sz="0" w:space="0" w:color="auto"/>
          </w:divBdr>
        </w:div>
        <w:div w:id="1852059736">
          <w:marLeft w:val="0"/>
          <w:marRight w:val="0"/>
          <w:marTop w:val="0"/>
          <w:marBottom w:val="0"/>
          <w:divBdr>
            <w:top w:val="none" w:sz="0" w:space="0" w:color="auto"/>
            <w:left w:val="none" w:sz="0" w:space="0" w:color="auto"/>
            <w:bottom w:val="none" w:sz="0" w:space="0" w:color="auto"/>
            <w:right w:val="none" w:sz="0" w:space="0" w:color="auto"/>
          </w:divBdr>
        </w:div>
        <w:div w:id="1678992903">
          <w:marLeft w:val="0"/>
          <w:marRight w:val="0"/>
          <w:marTop w:val="0"/>
          <w:marBottom w:val="0"/>
          <w:divBdr>
            <w:top w:val="none" w:sz="0" w:space="0" w:color="auto"/>
            <w:left w:val="none" w:sz="0" w:space="0" w:color="auto"/>
            <w:bottom w:val="none" w:sz="0" w:space="0" w:color="auto"/>
            <w:right w:val="none" w:sz="0" w:space="0" w:color="auto"/>
          </w:divBdr>
        </w:div>
        <w:div w:id="372194093">
          <w:marLeft w:val="0"/>
          <w:marRight w:val="0"/>
          <w:marTop w:val="0"/>
          <w:marBottom w:val="0"/>
          <w:divBdr>
            <w:top w:val="none" w:sz="0" w:space="0" w:color="auto"/>
            <w:left w:val="none" w:sz="0" w:space="0" w:color="auto"/>
            <w:bottom w:val="none" w:sz="0" w:space="0" w:color="auto"/>
            <w:right w:val="none" w:sz="0" w:space="0" w:color="auto"/>
          </w:divBdr>
        </w:div>
        <w:div w:id="341517737">
          <w:marLeft w:val="0"/>
          <w:marRight w:val="0"/>
          <w:marTop w:val="0"/>
          <w:marBottom w:val="0"/>
          <w:divBdr>
            <w:top w:val="none" w:sz="0" w:space="0" w:color="auto"/>
            <w:left w:val="none" w:sz="0" w:space="0" w:color="auto"/>
            <w:bottom w:val="none" w:sz="0" w:space="0" w:color="auto"/>
            <w:right w:val="none" w:sz="0" w:space="0" w:color="auto"/>
          </w:divBdr>
        </w:div>
        <w:div w:id="1617784698">
          <w:marLeft w:val="0"/>
          <w:marRight w:val="0"/>
          <w:marTop w:val="0"/>
          <w:marBottom w:val="0"/>
          <w:divBdr>
            <w:top w:val="none" w:sz="0" w:space="0" w:color="auto"/>
            <w:left w:val="none" w:sz="0" w:space="0" w:color="auto"/>
            <w:bottom w:val="none" w:sz="0" w:space="0" w:color="auto"/>
            <w:right w:val="none" w:sz="0" w:space="0" w:color="auto"/>
          </w:divBdr>
        </w:div>
        <w:div w:id="1937862517">
          <w:marLeft w:val="0"/>
          <w:marRight w:val="0"/>
          <w:marTop w:val="0"/>
          <w:marBottom w:val="0"/>
          <w:divBdr>
            <w:top w:val="none" w:sz="0" w:space="0" w:color="auto"/>
            <w:left w:val="none" w:sz="0" w:space="0" w:color="auto"/>
            <w:bottom w:val="none" w:sz="0" w:space="0" w:color="auto"/>
            <w:right w:val="none" w:sz="0" w:space="0" w:color="auto"/>
          </w:divBdr>
        </w:div>
        <w:div w:id="190861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lucion.com.co/Isolucion3AlcManizales/bancoconocimientoalcmanizales/L/Lainfancia_laadolescenciayelambientesanoenlosPlanesdeDesarrolloDepartam_yMunicipales/Lainfancia_laadolescenciayelambientesanoenlosPlanesdeDesarrolloDepartam_yMunicipales.asp?IdArticulo=106" TargetMode="External"/><Relationship Id="rId13" Type="http://schemas.openxmlformats.org/officeDocument/2006/relationships/hyperlink" Target="https://www.isolucion.com.co/Isolucion3AlcManizales/bancoconocimientoalcmanizales/M/MarcoparalasPPyLineamientosparalaPlaneaciondelDesarrollodelaInfanciayAdolescencia/MarcoparalasPPyLineamientosparalaPlaneaciondelDesarrollodelaInfanciayAdolescencia.asp?IdArticulo=115" TargetMode="External"/><Relationship Id="rId18" Type="http://schemas.openxmlformats.org/officeDocument/2006/relationships/hyperlink" Target="https://www.isolucion.com.co/Isolucion3AlcManizales/bancoconocimientoalcmanizales/A/Acuerdo906de2016/Acuerdo906de2016.asp?IdArticulo=2369" TargetMode="External"/><Relationship Id="rId26" Type="http://schemas.openxmlformats.org/officeDocument/2006/relationships/hyperlink" Target="https://www.isolucion.com.co/Isolucion3AlcManizales/bancoconocimientoalcmanizales/C/CronogramayPlandeTrabajoparalaFormulaciondePoliticasPublicas_v01/CronogramayPlandeTrabajoparalaFormulaciondePoliticasPublicas_v01.asp?IdArticulo=2787" TargetMode="External"/><Relationship Id="rId3" Type="http://schemas.openxmlformats.org/officeDocument/2006/relationships/settings" Target="settings.xml"/><Relationship Id="rId21" Type="http://schemas.openxmlformats.org/officeDocument/2006/relationships/hyperlink" Target="https://www.isolucion.com.co/Isolucion3AlcManizales/bancoconocimientoalcmanizales/C/CONPES161-EquidaddeGeneroparalasMujeres/CONPES161-EquidaddeGeneroparalasMujeres.asp?IdArticulo=2814" TargetMode="External"/><Relationship Id="rId7" Type="http://schemas.openxmlformats.org/officeDocument/2006/relationships/hyperlink" Target="https://www.isolucion.com.co/Isolucion3AlcManizales/bancoconocimientoalcmanizales/C/ComohacerunaPoliticaPublicadeInfanciayAdolescenciaenelDepartamentooMunicipio/ComohacerunaPoliticaPublicadeInfanciayAdolescenciaenelDepartamentooMunicipio.asp?IdArticulo=101" TargetMode="External"/><Relationship Id="rId12" Type="http://schemas.openxmlformats.org/officeDocument/2006/relationships/hyperlink" Target="https://www.isolucion.com.co/Isolucion3AlcManizales/bancoconocimientoalcmanizales/L/LineamientosdePPparaelDesarrollodelosNinnos_NinnasyAdolescentesenelDepar_yelMunicipio/LineamientosdePPparaelDesarrollodelosNinnos_NinnasyAdolescentesenelDepar_yelMunicipio.asp?IdArticulo=109" TargetMode="External"/><Relationship Id="rId17" Type="http://schemas.openxmlformats.org/officeDocument/2006/relationships/hyperlink" Target="https://www.isolucion.com.co/Isolucion3AlcManizales/bancoconocimientoalcmanizales/P/PoliticaPublicaNacionalparalasFamiliasColombianas/PoliticaPublicaNacionalparalasFamiliasColombianas.asp?IdArticulo=120" TargetMode="External"/><Relationship Id="rId25" Type="http://schemas.openxmlformats.org/officeDocument/2006/relationships/hyperlink" Target="https://www.isolucion.com.co/Isolucion3AlcManizales/bancoconocimientoalcmanizales/C/CONPES3854-PoliticaNacionaldeSeguridadDigital/CONPES3854-PoliticaNacionaldeSeguridadDigital.asp?IdArticulo=2818" TargetMode="External"/><Relationship Id="rId2" Type="http://schemas.microsoft.com/office/2007/relationships/stylesWithEffects" Target="stylesWithEffects.xml"/><Relationship Id="rId16" Type="http://schemas.openxmlformats.org/officeDocument/2006/relationships/hyperlink" Target="https://www.isolucion.com.co/Isolucion3AlcManizales/bancoconocimientoalcmanizales/P/PoliticaNacionaldeSeguridadyConvivenciaCiudadana/PoliticaNacionaldeSeguridadyConvivenciaCiudadana.asp?IdArticulo=118" TargetMode="External"/><Relationship Id="rId20" Type="http://schemas.openxmlformats.org/officeDocument/2006/relationships/hyperlink" Target="https://www.isolucion.com.co/Isolucion3AlcManizales/bancoconocimientoalcmanizales/C/CONPES109_PoliticaPublicaNacionaldePrimeraInfancia%E2%80%9CColombiaporlaPrimeraInfancia%E2%80%9D_/CONPES109_PoliticaPublicaNacionaldePrimeraInfancia%E2%80%9CColombiaporlaPrimeraInfancia%E2%80%9D_.asp?IdArticulo=281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isolucion.com.co/Isolucion3AlcManizales/bancoconocimientoalcmanizales/L/LineamientosdePoliticadeSaludMentalparaColombia/LineamientosdePoliticadeSaludMentalparaColombia.asp?IdArticulo=113" TargetMode="External"/><Relationship Id="rId24" Type="http://schemas.openxmlformats.org/officeDocument/2006/relationships/hyperlink" Target="https://www.isolucion.com.co/Isolucion3AlcManizales/bancoconocimientoalcmanizales/C/CONPES167-EstrategiaNacionaldePoliticaPublicaIntegralAnticorrupcion/CONPES167-EstrategiaNacionaldePoliticaPublicaIntegralAnticorrupcion.asp?IdArticulo=2817" TargetMode="External"/><Relationship Id="rId5" Type="http://schemas.openxmlformats.org/officeDocument/2006/relationships/image" Target="media/image1.png"/><Relationship Id="rId15" Type="http://schemas.openxmlformats.org/officeDocument/2006/relationships/hyperlink" Target="https://www.isolucion.com.co/Isolucion3AlcManizales/bancoconocimientoalcmanizales/P/PoliticaNacionaldeEnvejecimientoyVejez/PoliticaNacionaldeEnvejecimientoyVejez.asp?IdArticulo=117" TargetMode="External"/><Relationship Id="rId23" Type="http://schemas.openxmlformats.org/officeDocument/2006/relationships/hyperlink" Target="https://www.isolucion.com.co/Isolucion3AlcManizales/bancoconocimientoalcmanizales/C/CONPES3550-LineamientosparalaformulaciondelaPoliticaIntegraldeSaludAmbiental/CONPES3550-LineamientosparalaformulaciondelaPoliticaIntegraldeSaludAmbiental.asp?IdArticulo=2816" TargetMode="External"/><Relationship Id="rId28" Type="http://schemas.openxmlformats.org/officeDocument/2006/relationships/fontTable" Target="fontTable.xml"/><Relationship Id="rId10" Type="http://schemas.openxmlformats.org/officeDocument/2006/relationships/hyperlink" Target="https://www.isolucion.com.co/Isolucion3AlcManizales/bancoconocimientoalcmanizales/L/LineamientosdelaPoliticaPublicaNacionaldeEquidaddeGeneroparalasMujeres/LineamientosdelaPoliticaPublicaNacionaldeEquidaddeGeneroparalasMujeres.asp?IdArticulo=111" TargetMode="External"/><Relationship Id="rId19" Type="http://schemas.openxmlformats.org/officeDocument/2006/relationships/hyperlink" Target="https://www.isolucion.com.co/Isolucion3AlcManizales/bancoconocimientoalcmanizales/L/Ley1757de2015/Ley1757de2015.asp?IdArticulo=2491" TargetMode="External"/><Relationship Id="rId4" Type="http://schemas.openxmlformats.org/officeDocument/2006/relationships/webSettings" Target="webSettings.xml"/><Relationship Id="rId9" Type="http://schemas.openxmlformats.org/officeDocument/2006/relationships/hyperlink" Target="https://www.isolucion.com.co/Isolucion3AlcManizales/bancoconocimientoalcmanizales/L/Ley1618de2013/Ley1618de2013.asp?IdArticulo=107" TargetMode="External"/><Relationship Id="rId14" Type="http://schemas.openxmlformats.org/officeDocument/2006/relationships/hyperlink" Target="https://www.isolucion.com.co/Isolucion3AlcManizales/bancoconocimientoalcmanizales/M/MunicipiosyDepartamentosporlaInfanciaylaAdolescencia/MunicipiosyDepartamentosporlaInfanciaylaAdolescencia.asp?IdArticulo=116" TargetMode="External"/><Relationship Id="rId22" Type="http://schemas.openxmlformats.org/officeDocument/2006/relationships/hyperlink" Target="https://www.isolucion.com.co/Isolucion3AlcManizales/bancoconocimientoalcmanizales/C/CONPES166-PoliticaPublicaNacionaldeDiscapacidadeInclusionSocial/CONPES166-PoliticaPublicaNacionaldeDiscapacidadeInclusionSocial.asp?IdArticulo=2815" TargetMode="External"/><Relationship Id="rId27" Type="http://schemas.openxmlformats.org/officeDocument/2006/relationships/hyperlink" Target="https://www.isolucion.com.co/Isolucion3AlcManizales/bancoconocimientoalcmanizales/P/PlandeAccionCuatrienalparalaImplementaciondePoliticasPublicasenelMunicipiodeManizales_v01/PlandeAccionCuatrienalparalaImplementaciondePoliticasPublicasenelMunicipiodeManizales_v01.asp?IdArticulo=28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3066</Words>
  <Characters>16864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2017-09-18T15:41:00Z</dcterms:created>
  <dcterms:modified xsi:type="dcterms:W3CDTF">2017-09-18T15:43:00Z</dcterms:modified>
</cp:coreProperties>
</file>