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C17BE" w:rsidRPr="00DC17BE" w:rsidTr="00DC17BE">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DC17BE" w:rsidRPr="00DC17BE">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5" name="Imagen 25"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PROCEDIMIENTO</w:t>
                  </w:r>
                </w:p>
              </w:tc>
            </w:tr>
            <w:tr w:rsidR="00DC17BE" w:rsidRPr="00DC17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AUDITORÍA FINANCIERA A LOS RECURSOS DEL RÉGIMEN SUBSIDIADO</w:t>
                  </w:r>
                </w:p>
              </w:tc>
            </w:tr>
            <w:tr w:rsidR="00DC17BE" w:rsidRPr="00DC17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VERSIÓN 3</w:t>
                  </w:r>
                </w:p>
              </w:tc>
            </w:tr>
            <w:tr w:rsidR="00DC17BE" w:rsidRPr="00DC17B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CÓDIGO GSP-AGC-PR-003</w:t>
                  </w:r>
                </w:p>
              </w:tc>
            </w:tr>
          </w:tbl>
          <w:p w:rsidR="00DC17BE" w:rsidRPr="00DC17BE" w:rsidRDefault="00DC17BE" w:rsidP="00DC17B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DC17BE" w:rsidRPr="00DC17B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right"/>
                    <w:rPr>
                      <w:rFonts w:ascii="Calibri" w:eastAsia="Times New Roman" w:hAnsi="Calibri" w:cs="Times New Roman"/>
                      <w:b/>
                      <w:bCs/>
                      <w:caps/>
                      <w:color w:val="000000"/>
                      <w:sz w:val="24"/>
                      <w:szCs w:val="24"/>
                      <w:lang w:eastAsia="es-ES"/>
                    </w:rPr>
                  </w:pPr>
                  <w:r w:rsidRPr="00DC17BE">
                    <w:rPr>
                      <w:rFonts w:ascii="Calibri" w:eastAsia="Times New Roman" w:hAnsi="Calibri" w:cs="Times New Roman"/>
                      <w:b/>
                      <w:bCs/>
                      <w:caps/>
                      <w:color w:val="000000"/>
                      <w:sz w:val="24"/>
                      <w:szCs w:val="24"/>
                      <w:lang w:eastAsia="es-ES"/>
                    </w:rPr>
                    <w:t>ESTADO VIGENTE</w:t>
                  </w: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1. OBJETIVO</w:t>
                  </w:r>
                </w:p>
              </w:tc>
            </w:tr>
            <w:tr w:rsidR="00DC17BE" w:rsidRPr="00DC17B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Verificar el debido flujo de recursos de UPC-s percibida por las Empresas Promotoras de Salud con afiliados al régimen subsidiado para que los mismos tengan la destinación provista en las obligaciones del aseguramiento determinadas por el Ministerio de Salud y Protección Social.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2. ALCANCE</w:t>
                  </w:r>
                </w:p>
              </w:tc>
            </w:tr>
            <w:tr w:rsidR="00DC17BE" w:rsidRPr="00DC17B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Desde la elaboración del instrumento jurídico para la apropiación de recursos del régimen subsidiado hasta la validación del reconocimiento y restitución de </w:t>
                        </w:r>
                        <w:proofErr w:type="spellStart"/>
                        <w:r w:rsidRPr="00DC17BE">
                          <w:rPr>
                            <w:rFonts w:ascii="Calibri" w:eastAsia="Times New Roman" w:hAnsi="Calibri" w:cs="Times New Roman"/>
                            <w:lang w:eastAsia="es-ES"/>
                          </w:rPr>
                          <w:t>UPSs</w:t>
                        </w:r>
                        <w:proofErr w:type="spellEnd"/>
                        <w:r w:rsidRPr="00DC17BE">
                          <w:rPr>
                            <w:rFonts w:ascii="Calibri" w:eastAsia="Times New Roman" w:hAnsi="Calibri" w:cs="Times New Roman"/>
                            <w:lang w:eastAsia="es-ES"/>
                          </w:rPr>
                          <w:t xml:space="preserve"> por los afiliados al régimen subsidiado en salud a las EPS.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3. RESPONSABLE</w:t>
                  </w:r>
                </w:p>
              </w:tc>
            </w:tr>
            <w:tr w:rsidR="00DC17BE" w:rsidRPr="00DC17B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C17BE" w:rsidRPr="00DC17BE">
                    <w:trPr>
                      <w:tblCellSpacing w:w="15" w:type="dxa"/>
                    </w:trPr>
                    <w:tc>
                      <w:tcPr>
                        <w:tcW w:w="15" w:type="dxa"/>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p>
                    </w:tc>
                    <w:tc>
                      <w:tcPr>
                        <w:tcW w:w="5000" w:type="pct"/>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proofErr w:type="spellStart"/>
                        <w:r w:rsidRPr="00DC17BE">
                          <w:rPr>
                            <w:rFonts w:ascii="Calibri" w:eastAsia="Times New Roman" w:hAnsi="Calibri" w:cs="Times New Roman"/>
                            <w:lang w:eastAsia="es-ES"/>
                          </w:rPr>
                          <w:t>Monica</w:t>
                        </w:r>
                        <w:proofErr w:type="spellEnd"/>
                        <w:r w:rsidRPr="00DC17BE">
                          <w:rPr>
                            <w:rFonts w:ascii="Calibri" w:eastAsia="Times New Roman" w:hAnsi="Calibri" w:cs="Times New Roman"/>
                            <w:lang w:eastAsia="es-ES"/>
                          </w:rPr>
                          <w:t xml:space="preserve"> </w:t>
                        </w:r>
                        <w:proofErr w:type="spellStart"/>
                        <w:r w:rsidRPr="00DC17BE">
                          <w:rPr>
                            <w:rFonts w:ascii="Calibri" w:eastAsia="Times New Roman" w:hAnsi="Calibri" w:cs="Times New Roman"/>
                            <w:lang w:eastAsia="es-ES"/>
                          </w:rPr>
                          <w:t>Maria</w:t>
                        </w:r>
                        <w:proofErr w:type="spellEnd"/>
                        <w:r w:rsidRPr="00DC17BE">
                          <w:rPr>
                            <w:rFonts w:ascii="Calibri" w:eastAsia="Times New Roman" w:hAnsi="Calibri" w:cs="Times New Roman"/>
                            <w:lang w:eastAsia="es-ES"/>
                          </w:rPr>
                          <w:t xml:space="preserve"> Villada Grajales</w:t>
                        </w:r>
                      </w:p>
                    </w:tc>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4. CONDICIONES GENERALES</w:t>
                  </w:r>
                </w:p>
              </w:tc>
            </w:tr>
            <w:tr w:rsidR="00DC17BE" w:rsidRPr="00DC17B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rPr>
                            <w:rFonts w:ascii="Calibri" w:eastAsia="Times New Roman" w:hAnsi="Calibri" w:cs="Times New Roman"/>
                            <w:lang w:eastAsia="es-ES"/>
                          </w:rPr>
                        </w:pPr>
                        <w:bookmarkStart w:id="0" w:name="_GoBack"/>
                        <w:r w:rsidRPr="00DC17BE">
                          <w:rPr>
                            <w:rFonts w:ascii="Calibri" w:eastAsia="Times New Roman" w:hAnsi="Calibri" w:cs="Times New Roman"/>
                            <w:lang w:eastAsia="es-ES"/>
                          </w:rPr>
                          <w:t xml:space="preserve">Aplicación del Manual de Auditoría a las EPS con el cronograma de auditorías para la vigencia y los documentos y actos que serán objeto </w:t>
                        </w:r>
                        <w:r w:rsidRPr="00DC17BE">
                          <w:rPr>
                            <w:rFonts w:ascii="Calibri" w:eastAsia="Times New Roman" w:hAnsi="Calibri" w:cs="Times New Roman"/>
                            <w:lang w:eastAsia="es-ES"/>
                          </w:rPr>
                          <w:lastRenderedPageBreak/>
                          <w:t xml:space="preserve">de inspección </w:t>
                        </w:r>
                        <w:bookmarkEnd w:id="0"/>
                        <w:r w:rsidRPr="00DC17BE">
                          <w:rPr>
                            <w:rFonts w:ascii="Calibri" w:eastAsia="Times New Roman" w:hAnsi="Calibri" w:cs="Times New Roman"/>
                            <w:lang w:eastAsia="es-ES"/>
                          </w:rPr>
                          <w:t>y vigilancia.</w:t>
                        </w:r>
                        <w:r w:rsidRPr="00DC17BE">
                          <w:rPr>
                            <w:rFonts w:ascii="Calibri" w:eastAsia="Times New Roman" w:hAnsi="Calibri" w:cs="Times New Roman"/>
                            <w:lang w:eastAsia="es-ES"/>
                          </w:rPr>
                          <w:br/>
                          <w:t>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5. DEFINICIONES</w:t>
                  </w:r>
                </w:p>
              </w:tc>
            </w:tr>
            <w:tr w:rsidR="00DC17BE" w:rsidRPr="00DC17B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b/>
                            <w:bCs/>
                            <w:color w:val="000000"/>
                            <w:sz w:val="24"/>
                            <w:szCs w:val="24"/>
                            <w:lang w:eastAsia="es-ES"/>
                          </w:rPr>
                          <w:t>5.1. GLOSA:</w:t>
                        </w:r>
                        <w:r w:rsidRPr="00DC17BE">
                          <w:rPr>
                            <w:rFonts w:ascii="Calibri" w:eastAsia="Times New Roman" w:hAnsi="Calibri" w:cs="Times New Roman"/>
                            <w:lang w:eastAsia="es-ES"/>
                          </w:rPr>
                          <w:t> No conformidad que afecta en forma parcial o total el valor de la factura por prestación de servicios de salud, encontrada por la entidad responsable del pago durante la revisión integral, que requiere ser resuelta por parte del prestador de servicios de salud.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b/>
                            <w:bCs/>
                            <w:color w:val="000000"/>
                            <w:sz w:val="24"/>
                            <w:szCs w:val="24"/>
                            <w:lang w:eastAsia="es-ES"/>
                          </w:rPr>
                          <w:t>5.2. PRONUNCIAMIENTO A LA FACTURACIÓN:</w:t>
                        </w:r>
                        <w:r w:rsidRPr="00DC17BE">
                          <w:rPr>
                            <w:rFonts w:ascii="Calibri" w:eastAsia="Times New Roman" w:hAnsi="Calibri" w:cs="Times New Roman"/>
                            <w:lang w:eastAsia="es-ES"/>
                          </w:rPr>
                          <w:t> Procedimiento que realiza la EPS a las facturas radicadas por las IPS-s. Refiere la identificación de derechos y revisión de tarifas cobradas (si el procedimiento o la atención fueron autorizados por la EPS)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b/>
                            <w:bCs/>
                            <w:color w:val="000000"/>
                            <w:sz w:val="24"/>
                            <w:szCs w:val="24"/>
                            <w:lang w:eastAsia="es-ES"/>
                          </w:rPr>
                          <w:t>5.3. RADICACION DE FACTURACION:</w:t>
                        </w:r>
                        <w:r w:rsidRPr="00DC17BE">
                          <w:rPr>
                            <w:rFonts w:ascii="Calibri" w:eastAsia="Times New Roman" w:hAnsi="Calibri" w:cs="Times New Roman"/>
                            <w:lang w:eastAsia="es-ES"/>
                          </w:rPr>
                          <w:t> Es la facturación que cada prestador genera por prestación de servicios a los usuarios de la EPS y que posteriormente es radicada ante la EPS para el respectivo trámite de pago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b/>
                            <w:bCs/>
                            <w:color w:val="000000"/>
                            <w:sz w:val="24"/>
                            <w:szCs w:val="24"/>
                            <w:lang w:eastAsia="es-ES"/>
                          </w:rPr>
                          <w:t>5.4. GASTO ADMINISTRATIVO:</w:t>
                        </w:r>
                        <w:r w:rsidRPr="00DC17BE">
                          <w:rPr>
                            <w:rFonts w:ascii="Calibri" w:eastAsia="Times New Roman" w:hAnsi="Calibri" w:cs="Times New Roman"/>
                            <w:lang w:eastAsia="es-ES"/>
                          </w:rPr>
                          <w:t> Porcentaje establecido por norma para que la EPS destine para su funcionamiento. (8%)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r w:rsidR="00DC17BE" w:rsidRPr="00DC17BE">
                    <w:trPr>
                      <w:tblCellSpacing w:w="0" w:type="dxa"/>
                    </w:trPr>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DC17BE" w:rsidRPr="00DC17BE" w:rsidRDefault="00DC17BE" w:rsidP="00DC17B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b/>
                            <w:bCs/>
                            <w:color w:val="000000"/>
                            <w:sz w:val="24"/>
                            <w:szCs w:val="24"/>
                            <w:lang w:eastAsia="es-ES"/>
                          </w:rPr>
                          <w:t>5.5. PORCENTAJE DE CONTRATACION:</w:t>
                        </w:r>
                        <w:r w:rsidRPr="00DC17BE">
                          <w:rPr>
                            <w:rFonts w:ascii="Calibri" w:eastAsia="Times New Roman" w:hAnsi="Calibri" w:cs="Times New Roman"/>
                            <w:lang w:eastAsia="es-ES"/>
                          </w:rPr>
                          <w:t> Porcentaje establecido por norma para que La EPS del Régimen Subsidiado contrate con la red Pública (60%)  </w:t>
                        </w:r>
                      </w:p>
                    </w:tc>
                  </w:tr>
                  <w:tr w:rsidR="00DC17BE" w:rsidRPr="00DC17BE">
                    <w:trPr>
                      <w:trHeight w:val="75"/>
                      <w:tblCellSpacing w:w="0" w:type="dxa"/>
                    </w:trPr>
                    <w:tc>
                      <w:tcPr>
                        <w:tcW w:w="0" w:type="auto"/>
                        <w:gridSpan w:val="4"/>
                        <w:vAlign w:val="center"/>
                        <w:hideMark/>
                      </w:tcPr>
                      <w:p w:rsidR="00DC17BE" w:rsidRPr="00DC17BE" w:rsidRDefault="00DC17BE" w:rsidP="00DC17BE">
                        <w:pPr>
                          <w:spacing w:after="0" w:line="240" w:lineRule="auto"/>
                          <w:jc w:val="both"/>
                          <w:rPr>
                            <w:rFonts w:ascii="Calibri" w:eastAsia="Times New Roman" w:hAnsi="Calibri" w:cs="Times New Roman"/>
                            <w:sz w:val="8"/>
                            <w:lang w:eastAsia="es-ES"/>
                          </w:rPr>
                        </w:pP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6. DOCUMENTACIÓN EXTERNA RELACIONADA</w:t>
                  </w:r>
                </w:p>
              </w:tc>
            </w:tr>
            <w:tr w:rsidR="00DC17BE" w:rsidRPr="00DC17B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C17BE" w:rsidRPr="00DC17BE">
                    <w:trPr>
                      <w:tblCellSpacing w:w="15" w:type="dxa"/>
                    </w:trPr>
                    <w:tc>
                      <w:tcPr>
                        <w:tcW w:w="15" w:type="dxa"/>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p>
                    </w:tc>
                    <w:tc>
                      <w:tcPr>
                        <w:tcW w:w="5000" w:type="pct"/>
                        <w:vAlign w:val="center"/>
                        <w:hideMark/>
                      </w:tcPr>
                      <w:p w:rsidR="00DC17BE" w:rsidRPr="00DC17BE" w:rsidRDefault="00DC17BE" w:rsidP="00DC17BE">
                        <w:pPr>
                          <w:spacing w:after="0" w:line="240" w:lineRule="auto"/>
                          <w:rPr>
                            <w:rFonts w:ascii="Calibri" w:eastAsia="Times New Roman" w:hAnsi="Calibri" w:cs="Times New Roman"/>
                            <w:lang w:eastAsia="es-ES"/>
                          </w:rPr>
                        </w:pPr>
                        <w:hyperlink r:id="rId7" w:history="1">
                          <w:r w:rsidRPr="00DC17BE">
                            <w:rPr>
                              <w:rFonts w:ascii="Calibri" w:eastAsia="Times New Roman" w:hAnsi="Calibri" w:cs="Times New Roman"/>
                              <w:color w:val="0000FF"/>
                              <w:u w:val="single"/>
                              <w:lang w:eastAsia="es-ES"/>
                            </w:rPr>
                            <w:t>- Acuerdo 415 de 2009</w:t>
                          </w:r>
                        </w:hyperlink>
                        <w:r w:rsidRPr="00DC17BE">
                          <w:rPr>
                            <w:rFonts w:ascii="Calibri" w:eastAsia="Times New Roman" w:hAnsi="Calibri" w:cs="Times New Roman"/>
                            <w:lang w:eastAsia="es-ES"/>
                          </w:rPr>
                          <w:br/>
                        </w:r>
                        <w:hyperlink r:id="rId8" w:history="1">
                          <w:r w:rsidRPr="00DC17BE">
                            <w:rPr>
                              <w:rFonts w:ascii="Calibri" w:eastAsia="Times New Roman" w:hAnsi="Calibri" w:cs="Times New Roman"/>
                              <w:color w:val="0000FF"/>
                              <w:u w:val="single"/>
                              <w:lang w:eastAsia="es-ES"/>
                            </w:rPr>
                            <w:t>- Circular 000006 de 2011</w:t>
                          </w:r>
                        </w:hyperlink>
                        <w:r w:rsidRPr="00DC17BE">
                          <w:rPr>
                            <w:rFonts w:ascii="Calibri" w:eastAsia="Times New Roman" w:hAnsi="Calibri" w:cs="Times New Roman"/>
                            <w:lang w:eastAsia="es-ES"/>
                          </w:rPr>
                          <w:br/>
                        </w:r>
                        <w:hyperlink r:id="rId9" w:history="1">
                          <w:r w:rsidRPr="00DC17BE">
                            <w:rPr>
                              <w:rFonts w:ascii="Calibri" w:eastAsia="Times New Roman" w:hAnsi="Calibri" w:cs="Times New Roman"/>
                              <w:color w:val="0000FF"/>
                              <w:u w:val="single"/>
                              <w:lang w:eastAsia="es-ES"/>
                            </w:rPr>
                            <w:t>- Resolución 003047 de 2008</w:t>
                          </w:r>
                        </w:hyperlink>
                        <w:r w:rsidRPr="00DC17BE">
                          <w:rPr>
                            <w:rFonts w:ascii="Calibri" w:eastAsia="Times New Roman" w:hAnsi="Calibri" w:cs="Times New Roman"/>
                            <w:lang w:eastAsia="es-ES"/>
                          </w:rPr>
                          <w:br/>
                        </w:r>
                        <w:hyperlink r:id="rId10" w:history="1">
                          <w:r w:rsidRPr="00DC17BE">
                            <w:rPr>
                              <w:rFonts w:ascii="Calibri" w:eastAsia="Times New Roman" w:hAnsi="Calibri" w:cs="Times New Roman"/>
                              <w:color w:val="0000FF"/>
                              <w:u w:val="single"/>
                              <w:lang w:eastAsia="es-ES"/>
                            </w:rPr>
                            <w:t>- Resolución 660 de 2008</w:t>
                          </w:r>
                        </w:hyperlink>
                        <w:r w:rsidRPr="00DC17BE">
                          <w:rPr>
                            <w:rFonts w:ascii="Calibri" w:eastAsia="Times New Roman" w:hAnsi="Calibri" w:cs="Times New Roman"/>
                            <w:lang w:eastAsia="es-ES"/>
                          </w:rPr>
                          <w:br/>
                        </w:r>
                        <w:hyperlink r:id="rId11" w:history="1">
                          <w:r w:rsidRPr="00DC17BE">
                            <w:rPr>
                              <w:rFonts w:ascii="Calibri" w:eastAsia="Times New Roman" w:hAnsi="Calibri" w:cs="Times New Roman"/>
                              <w:color w:val="0000FF"/>
                              <w:u w:val="single"/>
                              <w:lang w:eastAsia="es-ES"/>
                            </w:rPr>
                            <w:t>- Decreto 971 de 2011</w:t>
                          </w:r>
                        </w:hyperlink>
                        <w:r w:rsidRPr="00DC17BE">
                          <w:rPr>
                            <w:rFonts w:ascii="Calibri" w:eastAsia="Times New Roman" w:hAnsi="Calibri" w:cs="Times New Roman"/>
                            <w:lang w:eastAsia="es-ES"/>
                          </w:rPr>
                          <w:br/>
                        </w:r>
                        <w:hyperlink r:id="rId12" w:history="1">
                          <w:r w:rsidRPr="00DC17BE">
                            <w:rPr>
                              <w:rFonts w:ascii="Calibri" w:eastAsia="Times New Roman" w:hAnsi="Calibri" w:cs="Times New Roman"/>
                              <w:color w:val="0000FF"/>
                              <w:u w:val="single"/>
                              <w:lang w:eastAsia="es-ES"/>
                            </w:rPr>
                            <w:t>- Decreto 3830 de 2011</w:t>
                          </w:r>
                        </w:hyperlink>
                        <w:r w:rsidRPr="00DC17BE">
                          <w:rPr>
                            <w:rFonts w:ascii="Calibri" w:eastAsia="Times New Roman" w:hAnsi="Calibri" w:cs="Times New Roman"/>
                            <w:lang w:eastAsia="es-ES"/>
                          </w:rPr>
                          <w:br/>
                        </w:r>
                        <w:hyperlink r:id="rId13" w:history="1">
                          <w:r w:rsidRPr="00DC17BE">
                            <w:rPr>
                              <w:rFonts w:ascii="Calibri" w:eastAsia="Times New Roman" w:hAnsi="Calibri" w:cs="Times New Roman"/>
                              <w:color w:val="0000FF"/>
                              <w:u w:val="single"/>
                              <w:lang w:eastAsia="es-ES"/>
                            </w:rPr>
                            <w:t>- Ley 1122 de 2007</w:t>
                          </w:r>
                        </w:hyperlink>
                        <w:r w:rsidRPr="00DC17BE">
                          <w:rPr>
                            <w:rFonts w:ascii="Calibri" w:eastAsia="Times New Roman" w:hAnsi="Calibri" w:cs="Times New Roman"/>
                            <w:lang w:eastAsia="es-ES"/>
                          </w:rPr>
                          <w:br/>
                        </w:r>
                        <w:hyperlink r:id="rId14" w:history="1">
                          <w:r w:rsidRPr="00DC17BE">
                            <w:rPr>
                              <w:rFonts w:ascii="Calibri" w:eastAsia="Times New Roman" w:hAnsi="Calibri" w:cs="Times New Roman"/>
                              <w:color w:val="0000FF"/>
                              <w:u w:val="single"/>
                              <w:lang w:eastAsia="es-ES"/>
                            </w:rPr>
                            <w:t>- Ley 1438 de 2011</w:t>
                          </w:r>
                        </w:hyperlink>
                        <w:r w:rsidRPr="00DC17BE">
                          <w:rPr>
                            <w:rFonts w:ascii="Calibri" w:eastAsia="Times New Roman" w:hAnsi="Calibri" w:cs="Times New Roman"/>
                            <w:lang w:eastAsia="es-ES"/>
                          </w:rPr>
                          <w:br/>
                        </w:r>
                        <w:hyperlink r:id="rId15" w:history="1">
                          <w:r w:rsidRPr="00DC17BE">
                            <w:rPr>
                              <w:rFonts w:ascii="Calibri" w:eastAsia="Times New Roman" w:hAnsi="Calibri" w:cs="Times New Roman"/>
                              <w:color w:val="0000FF"/>
                              <w:u w:val="single"/>
                              <w:lang w:eastAsia="es-ES"/>
                            </w:rPr>
                            <w:t>- Decreto 1700 DE 2011</w:t>
                          </w:r>
                        </w:hyperlink>
                        <w:r w:rsidRPr="00DC17BE">
                          <w:rPr>
                            <w:rFonts w:ascii="Calibri" w:eastAsia="Times New Roman" w:hAnsi="Calibri" w:cs="Times New Roman"/>
                            <w:lang w:eastAsia="es-ES"/>
                          </w:rPr>
                          <w:br/>
                        </w:r>
                        <w:hyperlink r:id="rId16" w:history="1">
                          <w:r w:rsidRPr="00DC17BE">
                            <w:rPr>
                              <w:rFonts w:ascii="Calibri" w:eastAsia="Times New Roman" w:hAnsi="Calibri" w:cs="Times New Roman"/>
                              <w:color w:val="0000FF"/>
                              <w:u w:val="single"/>
                              <w:lang w:eastAsia="es-ES"/>
                            </w:rPr>
                            <w:t>- Resolución 4612 del 2014</w:t>
                          </w:r>
                        </w:hyperlink>
                        <w:r w:rsidRPr="00DC17BE">
                          <w:rPr>
                            <w:rFonts w:ascii="Calibri" w:eastAsia="Times New Roman" w:hAnsi="Calibri" w:cs="Times New Roman"/>
                            <w:lang w:eastAsia="es-ES"/>
                          </w:rPr>
                          <w:br/>
                        </w:r>
                        <w:hyperlink r:id="rId17" w:history="1">
                          <w:r w:rsidRPr="00DC17BE">
                            <w:rPr>
                              <w:rFonts w:ascii="Calibri" w:eastAsia="Times New Roman" w:hAnsi="Calibri" w:cs="Times New Roman"/>
                              <w:color w:val="0000FF"/>
                              <w:u w:val="single"/>
                              <w:lang w:eastAsia="es-ES"/>
                            </w:rPr>
                            <w:t>- Decreto 2353 del 2015</w:t>
                          </w:r>
                        </w:hyperlink>
                        <w:r w:rsidRPr="00DC17BE">
                          <w:rPr>
                            <w:rFonts w:ascii="Calibri" w:eastAsia="Times New Roman" w:hAnsi="Calibri" w:cs="Times New Roman"/>
                            <w:lang w:eastAsia="es-ES"/>
                          </w:rPr>
                          <w:br/>
                        </w:r>
                        <w:hyperlink r:id="rId18" w:history="1">
                          <w:r w:rsidRPr="00DC17BE">
                            <w:rPr>
                              <w:rFonts w:ascii="Calibri" w:eastAsia="Times New Roman" w:hAnsi="Calibri" w:cs="Times New Roman"/>
                              <w:color w:val="0000FF"/>
                              <w:u w:val="single"/>
                              <w:lang w:eastAsia="es-ES"/>
                            </w:rPr>
                            <w:t>- Resolución 1587 de 2016</w:t>
                          </w:r>
                        </w:hyperlink>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7. DESARROLLO</w:t>
                  </w: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C17BE" w:rsidRPr="00DC17BE">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CÓMO LO HACE</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Paula Andrea Serna Murillo</w:t>
                  </w:r>
                  <w:r w:rsidRPr="00DC17BE">
                    <w:rPr>
                      <w:rFonts w:ascii="Calibri" w:eastAsia="Times New Roman" w:hAnsi="Calibri" w:cs="Times New Roman"/>
                      <w:lang w:eastAsia="es-ES"/>
                    </w:rPr>
                    <w:br/>
                    <w:t xml:space="preserve">- </w:t>
                  </w:r>
                  <w:proofErr w:type="spellStart"/>
                  <w:r w:rsidRPr="00DC17BE">
                    <w:rPr>
                      <w:rFonts w:ascii="Calibri" w:eastAsia="Times New Roman" w:hAnsi="Calibri" w:cs="Times New Roman"/>
                      <w:lang w:eastAsia="es-ES"/>
                    </w:rPr>
                    <w:t>Maria</w:t>
                  </w:r>
                  <w:proofErr w:type="spellEnd"/>
                  <w:r w:rsidRPr="00DC17BE">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hyperlink r:id="rId19" w:history="1">
                    <w:r w:rsidRPr="00DC17BE">
                      <w:rPr>
                        <w:rFonts w:ascii="Calibri" w:eastAsia="Times New Roman" w:hAnsi="Calibri" w:cs="Times New Roman"/>
                        <w:color w:val="0000FF"/>
                        <w:u w:val="single"/>
                        <w:lang w:eastAsia="es-ES"/>
                      </w:rPr>
                      <w:t>- Manual de Auditoría al Régimen Subsidiado</w:t>
                    </w:r>
                  </w:hyperlink>
                  <w:r w:rsidRPr="00DC17BE">
                    <w:rPr>
                      <w:rFonts w:ascii="Calibri" w:eastAsia="Times New Roman" w:hAnsi="Calibri" w:cs="Times New Roman"/>
                      <w:lang w:eastAsia="es-ES"/>
                    </w:rPr>
                    <w:br/>
                    <w:t>Todos los que allí se generan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APLICAR EL MANUAL DE AUDITORÍA DEL RÉGIMEN SUBSIDIADO PARA DAR INICIO A ESTE PROCEDIMIENTO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Elaboración del Instrumento Jurídico para la apropiación de recursos del régimen subsidiado en salud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 </w:t>
                  </w:r>
                  <w:proofErr w:type="spellStart"/>
                  <w:r w:rsidRPr="00DC17BE">
                    <w:rPr>
                      <w:rFonts w:ascii="Calibri" w:eastAsia="Times New Roman" w:hAnsi="Calibri" w:cs="Times New Roman"/>
                      <w:lang w:eastAsia="es-ES"/>
                    </w:rPr>
                    <w:t>Monica</w:t>
                  </w:r>
                  <w:proofErr w:type="spellEnd"/>
                  <w:r w:rsidRPr="00DC17BE">
                    <w:rPr>
                      <w:rFonts w:ascii="Calibri" w:eastAsia="Times New Roman" w:hAnsi="Calibri" w:cs="Times New Roman"/>
                      <w:lang w:eastAsia="es-ES"/>
                    </w:rPr>
                    <w:t xml:space="preserve"> </w:t>
                  </w:r>
                  <w:proofErr w:type="spellStart"/>
                  <w:r w:rsidRPr="00DC17BE">
                    <w:rPr>
                      <w:rFonts w:ascii="Calibri" w:eastAsia="Times New Roman" w:hAnsi="Calibri" w:cs="Times New Roman"/>
                      <w:lang w:eastAsia="es-ES"/>
                    </w:rPr>
                    <w:t>Maria</w:t>
                  </w:r>
                  <w:proofErr w:type="spellEnd"/>
                  <w:r w:rsidRPr="00DC17BE">
                    <w:rPr>
                      <w:rFonts w:ascii="Calibri" w:eastAsia="Times New Roman" w:hAnsi="Calibri" w:cs="Times New Roman"/>
                      <w:lang w:eastAsia="es-ES"/>
                    </w:rPr>
                    <w:t xml:space="preserve"> Villada Grajales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Resolución de adopción del instrumento jurídico de apropiación de recursos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Según matriz dispuesta por el MSP para la distribución de recursos por fuentes de financiación y por EPS, se elabora el instrumento jurídico.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Recibir de forma mensual la autorización de las EPS-s para el pago a las IPS-s por la prestación de servicios de salud a los afiliados al Régimen Subsidiado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Oficio de autorización de valores a pagar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Las EPS-s envían cada mes a la Secretaría de Salud Pública la relación, la autorización y el valor a pagar a las IPS-s que prestan servicios de salud a los afiliados al Régimen Subsidiado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Revisar que las IPS-s objeto de pago, estén inscritas ante la Secretaría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Archivo de cuentas inscritas.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Debe revisarse la relación de las IPS-s beneficiarias de pago, con el fin de comprobar que las mismas estén inscritas en la cuenta maestra del Régimen Subsidiado y que atiendan la población del Municipio de Manizales.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Requerir a las EPS-s e IPS-s la información y documentación necesaria para realizar la auditoría financiera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Oficio o correo electrónico de solicitud de la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Solicitar a las EPS-s e IPS-s, mediante correo electrónico o por oficio, la siguiente documentación:</w:t>
                  </w:r>
                  <w:r w:rsidRPr="00DC17BE">
                    <w:rPr>
                      <w:rFonts w:ascii="Calibri" w:eastAsia="Times New Roman" w:hAnsi="Calibri" w:cs="Times New Roman"/>
                      <w:lang w:eastAsia="es-ES"/>
                    </w:rPr>
                    <w:br/>
                    <w:t> </w:t>
                  </w:r>
                  <w:r w:rsidRPr="00DC17BE">
                    <w:rPr>
                      <w:rFonts w:ascii="Calibri" w:eastAsia="Times New Roman" w:hAnsi="Calibri" w:cs="Times New Roman"/>
                      <w:lang w:eastAsia="es-ES"/>
                    </w:rPr>
                    <w:br/>
                    <w:t>1. Radicación de facturación por prestación de servicios de las IPS-s. </w:t>
                  </w:r>
                  <w:r w:rsidRPr="00DC17BE">
                    <w:rPr>
                      <w:rFonts w:ascii="Calibri" w:eastAsia="Times New Roman" w:hAnsi="Calibri" w:cs="Times New Roman"/>
                      <w:lang w:eastAsia="es-ES"/>
                    </w:rPr>
                    <w:br/>
                    <w:t>2. pronunciamiento a la facturación y sus tiempos. </w:t>
                  </w:r>
                  <w:r w:rsidRPr="00DC17BE">
                    <w:rPr>
                      <w:rFonts w:ascii="Calibri" w:eastAsia="Times New Roman" w:hAnsi="Calibri" w:cs="Times New Roman"/>
                      <w:lang w:eastAsia="es-ES"/>
                    </w:rPr>
                    <w:br/>
                    <w:t>3. Cartera adeudada a la red de servicios. </w:t>
                  </w:r>
                  <w:r w:rsidRPr="00DC17BE">
                    <w:rPr>
                      <w:rFonts w:ascii="Calibri" w:eastAsia="Times New Roman" w:hAnsi="Calibri" w:cs="Times New Roman"/>
                      <w:lang w:eastAsia="es-ES"/>
                    </w:rPr>
                    <w:br/>
                    <w:t>4. Certificación de pagos a la seguridad social. </w:t>
                  </w:r>
                  <w:r w:rsidRPr="00DC17BE">
                    <w:rPr>
                      <w:rFonts w:ascii="Calibri" w:eastAsia="Times New Roman" w:hAnsi="Calibri" w:cs="Times New Roman"/>
                      <w:lang w:eastAsia="es-ES"/>
                    </w:rPr>
                    <w:br/>
                    <w:t>5. Relación de gastos Administrativos. </w:t>
                  </w:r>
                  <w:r w:rsidRPr="00DC17BE">
                    <w:rPr>
                      <w:rFonts w:ascii="Calibri" w:eastAsia="Times New Roman" w:hAnsi="Calibri" w:cs="Times New Roman"/>
                      <w:lang w:eastAsia="es-ES"/>
                    </w:rPr>
                    <w:br/>
                    <w:t>6. Relación de los giros realizados a las IPS por las diferentes fuentes.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Revisar la radicación de facturación por Prestación de Servicios de Salud en físico y en el software financiero de cada EPS-S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Se debe cotejar que la facturación radicada ante la EPS, corresponda a la Red de Servicios que presta la atención a afiliados del municipio de Manizales. De igual manera se debe revisar que dicha facturación sea la efectivamente cargada en el Software Financiero de cada EPS.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Revisar el pronunciamiento a la facturación y sus tiempos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Informe financiero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Revisar los tiempos de pronunciamiento a la facturación (Glosas), que se den dentro de los tiempos reglamentados y que una vez sea aceptada la glosa, se cancele oportunamente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Revisar los tiempos de pago a las IPS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LMA, Reporte de giro a la red publicada por el Ministerio de Salud y Protección Social y autorización de giro a la red fuente Esfuerzo Propio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Se debe vigilar que una vez generada la liquidación mensual de afiliados a las EPS-S, estas realicen la dispersión de los recursos a las IPS que hacen parte de la Red Prestadora de Servicios, en los tiempos establecidos de acuerdo a la norma.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Revisar las novedades liquidadas por el Ministerio con los administradores de la base de datos del Régimen Subsidiado y las auditoras de afiliación y </w:t>
                  </w:r>
                  <w:proofErr w:type="spellStart"/>
                  <w:r w:rsidRPr="00DC17BE">
                    <w:rPr>
                      <w:rFonts w:ascii="Calibri" w:eastAsia="Times New Roman" w:hAnsi="Calibri" w:cs="Times New Roman"/>
                      <w:lang w:eastAsia="es-ES"/>
                    </w:rPr>
                    <w:t>carnetización</w:t>
                  </w:r>
                  <w:proofErr w:type="spellEnd"/>
                  <w:r w:rsidRPr="00DC17BE">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Acta de reunión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Después de las revisiones anteriores, se procede a cotejar la información liquidada por el Ministerio de Salud y Protección Social y las novedades reportadas y validadas por la Secretaría de Salud, la cual puede arrojar hallazgos a favor y en contra de los actores. De lo encontrado se emite acta la cual sirve como referente para realizar los requerimientos a las EPS-s.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Elaborar los informes de </w:t>
                  </w:r>
                  <w:r w:rsidRPr="00DC17BE">
                    <w:rPr>
                      <w:rFonts w:ascii="Calibri" w:eastAsia="Times New Roman" w:hAnsi="Calibri" w:cs="Times New Roman"/>
                      <w:lang w:eastAsia="es-ES"/>
                    </w:rPr>
                    <w:lastRenderedPageBreak/>
                    <w:t>Inspección y Vigilancia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 Carmenza Giraldo Orrego</w:t>
                  </w:r>
                  <w:r w:rsidRPr="00DC17BE">
                    <w:rPr>
                      <w:rFonts w:ascii="Calibri" w:eastAsia="Times New Roman" w:hAnsi="Calibri" w:cs="Times New Roman"/>
                      <w:lang w:eastAsia="es-ES"/>
                    </w:rPr>
                    <w:br/>
                  </w:r>
                  <w:r w:rsidRPr="00DC17BE">
                    <w:rPr>
                      <w:rFonts w:ascii="Calibri" w:eastAsia="Times New Roman" w:hAnsi="Calibri" w:cs="Times New Roman"/>
                      <w:lang w:eastAsia="es-ES"/>
                    </w:rPr>
                    <w:lastRenderedPageBreak/>
                    <w:t xml:space="preserve">- </w:t>
                  </w:r>
                  <w:proofErr w:type="spellStart"/>
                  <w:r w:rsidRPr="00DC17BE">
                    <w:rPr>
                      <w:rFonts w:ascii="Calibri" w:eastAsia="Times New Roman" w:hAnsi="Calibri" w:cs="Times New Roman"/>
                      <w:lang w:eastAsia="es-ES"/>
                    </w:rPr>
                    <w:t>Monica</w:t>
                  </w:r>
                  <w:proofErr w:type="spellEnd"/>
                  <w:r w:rsidRPr="00DC17BE">
                    <w:rPr>
                      <w:rFonts w:ascii="Calibri" w:eastAsia="Times New Roman" w:hAnsi="Calibri" w:cs="Times New Roman"/>
                      <w:lang w:eastAsia="es-ES"/>
                    </w:rPr>
                    <w:t xml:space="preserve"> </w:t>
                  </w:r>
                  <w:proofErr w:type="spellStart"/>
                  <w:r w:rsidRPr="00DC17BE">
                    <w:rPr>
                      <w:rFonts w:ascii="Calibri" w:eastAsia="Times New Roman" w:hAnsi="Calibri" w:cs="Times New Roman"/>
                      <w:lang w:eastAsia="es-ES"/>
                    </w:rPr>
                    <w:t>Maria</w:t>
                  </w:r>
                  <w:proofErr w:type="spellEnd"/>
                  <w:r w:rsidRPr="00DC17BE">
                    <w:rPr>
                      <w:rFonts w:ascii="Calibri" w:eastAsia="Times New Roman" w:hAnsi="Calibri" w:cs="Times New Roman"/>
                      <w:lang w:eastAsia="es-ES"/>
                    </w:rPr>
                    <w:t xml:space="preserve"> Villada Grajales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br/>
                  </w:r>
                  <w:r w:rsidRPr="00DC17BE">
                    <w:rPr>
                      <w:rFonts w:ascii="Calibri" w:eastAsia="Times New Roman" w:hAnsi="Calibri" w:cs="Times New Roman"/>
                      <w:lang w:eastAsia="es-ES"/>
                    </w:rPr>
                    <w:lastRenderedPageBreak/>
                    <w:t>Informes de Auditoría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 xml:space="preserve">En los informes se consolida todo </w:t>
                  </w:r>
                  <w:r w:rsidRPr="00DC17BE">
                    <w:rPr>
                      <w:rFonts w:ascii="Calibri" w:eastAsia="Times New Roman" w:hAnsi="Calibri" w:cs="Times New Roman"/>
                      <w:lang w:eastAsia="es-ES"/>
                    </w:rPr>
                    <w:lastRenderedPageBreak/>
                    <w:t>lo auditado durante el mes, en él se incluye: giros a la red de servicios, Radicación de cuentas por prestación de servicios en la EPS-s, relación de cartera por edades, Red contratada para la prestación de servicios a los usuarios, pronunciamiento y levante de glosas administrativas, relación del gasto administrativo de la UPC-s reglamentado, seguimiento a la cartera, seguimiento a compromisos pactados para el pago de la cartera morosa realizado entre las EPS-s e IPS, porcentaje contratado con la red pública y observaciones y sugerencias de lo hallado.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Remitir los informes a las EPS-s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Oficios </w:t>
                  </w:r>
                  <w:r w:rsidRPr="00DC17BE">
                    <w:rPr>
                      <w:rFonts w:ascii="Calibri" w:eastAsia="Times New Roman" w:hAnsi="Calibri" w:cs="Times New Roman"/>
                      <w:lang w:eastAsia="es-ES"/>
                    </w:rPr>
                    <w:br/>
                    <w:t>Correos Electrónicos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Los informes son remitidos a través de correo electrónico o por oficio a cada una de las EPS-s con el fin de darles a conocer el resultado y los hallazgos de la auditoría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Realizar visitas de vigilancia financiera a la red de servicios informada por la EPS-s, para verificar la información </w:t>
                  </w:r>
                  <w:r w:rsidRPr="00DC17BE">
                    <w:rPr>
                      <w:rFonts w:ascii="Calibri" w:eastAsia="Times New Roman" w:hAnsi="Calibri" w:cs="Times New Roman"/>
                      <w:lang w:eastAsia="es-ES"/>
                    </w:rPr>
                    <w:lastRenderedPageBreak/>
                    <w:t>entregada por la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Acta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xml:space="preserve">Mediante cronograma se programan visitas a la red de servicios informadas por las EPS QUE OPERAN EN EL Municipio de </w:t>
                  </w:r>
                  <w:r w:rsidRPr="00DC17BE">
                    <w:rPr>
                      <w:rFonts w:ascii="Calibri" w:eastAsia="Times New Roman" w:hAnsi="Calibri" w:cs="Times New Roman"/>
                      <w:lang w:eastAsia="es-ES"/>
                    </w:rPr>
                    <w:lastRenderedPageBreak/>
                    <w:t>Manizales. En la misma se coteja la información suministrada por la EPS. Adicionalmente se verifican todos los procesos financieros con la EPS, como son: comportamiento de pago, conciliaciones de glosas y de cartera, radicación de facturación entre otros.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lastRenderedPageBreak/>
                    <w:t>Realizar semestralmente calificación o ranking a las EPS-s y presentar el informe con la escala de calificación, metodología y evidencias aportadas.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Informe de Ranking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Información que resulta de las auditorías realizadas a las EPS durante el semestre.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Verificar la equidad en el pago a la red, respecto a la radicación de cartera en la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Carmenza Giraldo Orrego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br/>
                    <w:t>Giros a través del Ministerio, Municipio y tesorería de la EPS. Oficio de requerimiento a la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Se verifica que toda la red prestadora que presentó facturación durante el período, reciba giro por parte de la EPS-s.  </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 Paula Andrea Serna Murillo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hyperlink r:id="rId20" w:history="1">
                    <w:r w:rsidRPr="00DC17BE">
                      <w:rPr>
                        <w:rFonts w:ascii="Calibri" w:eastAsia="Times New Roman" w:hAnsi="Calibri" w:cs="Times New Roman"/>
                        <w:color w:val="0000FF"/>
                        <w:u w:val="single"/>
                        <w:lang w:eastAsia="es-ES"/>
                      </w:rPr>
                      <w:t>- Manual de Auditoría al Régimen Subsidiado</w:t>
                    </w:r>
                  </w:hyperlink>
                  <w:r w:rsidRPr="00DC17BE">
                    <w:rPr>
                      <w:rFonts w:ascii="Calibri" w:eastAsia="Times New Roman" w:hAnsi="Calibri" w:cs="Times New Roman"/>
                      <w:lang w:eastAsia="es-ES"/>
                    </w:rPr>
                    <w:br/>
                    <w:t>Todos los que allí se generan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r w:rsidRPr="00DC17BE">
                    <w:rPr>
                      <w:rFonts w:ascii="Calibri" w:eastAsia="Times New Roman" w:hAnsi="Calibri" w:cs="Times New Roman"/>
                      <w:lang w:eastAsia="es-ES"/>
                    </w:rPr>
                    <w:t>APLICAR EL MANUAL DE AUDITORÍA DEL RÉGIMEN SUBSIDIADO PARA DAR INICIO A ESTE PROCEDIMIENTO </w:t>
                  </w: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8. CONTENIDO</w:t>
                  </w:r>
                </w:p>
              </w:tc>
            </w:tr>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C17BE" w:rsidRPr="00DC17BE">
              <w:trPr>
                <w:tblCellSpacing w:w="0" w:type="dxa"/>
                <w:jc w:val="center"/>
              </w:trPr>
              <w:tc>
                <w:tcPr>
                  <w:tcW w:w="0" w:type="auto"/>
                  <w:vAlign w:val="center"/>
                  <w:hideMark/>
                </w:tcPr>
                <w:p w:rsidR="00DC17BE" w:rsidRPr="00DC17BE" w:rsidRDefault="00DC17BE" w:rsidP="00DC17BE">
                  <w:pPr>
                    <w:spacing w:after="0" w:line="240" w:lineRule="auto"/>
                    <w:jc w:val="both"/>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LISTA DE VERSIONES</w:t>
                  </w:r>
                </w:p>
              </w:tc>
            </w:tr>
            <w:tr w:rsidR="00DC17BE" w:rsidRPr="00DC17B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C17BE" w:rsidRPr="00DC17BE">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lastRenderedPageBreak/>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C17BE" w:rsidRPr="00DC17BE" w:rsidRDefault="00DC17BE" w:rsidP="00DC17BE">
                        <w:pPr>
                          <w:spacing w:after="0" w:line="240" w:lineRule="auto"/>
                          <w:jc w:val="center"/>
                          <w:rPr>
                            <w:rFonts w:ascii="Calibri" w:eastAsia="Times New Roman" w:hAnsi="Calibri" w:cs="Times New Roman"/>
                            <w:b/>
                            <w:bCs/>
                            <w:color w:val="FFFFFF"/>
                            <w:sz w:val="24"/>
                            <w:szCs w:val="24"/>
                            <w:lang w:eastAsia="es-ES"/>
                          </w:rPr>
                        </w:pPr>
                        <w:r w:rsidRPr="00DC17BE">
                          <w:rPr>
                            <w:rFonts w:ascii="Calibri" w:eastAsia="Times New Roman" w:hAnsi="Calibri" w:cs="Times New Roman"/>
                            <w:b/>
                            <w:bCs/>
                            <w:color w:val="FFFFFF"/>
                            <w:sz w:val="24"/>
                            <w:szCs w:val="24"/>
                            <w:lang w:eastAsia="es-ES"/>
                          </w:rPr>
                          <w:t>RAZÓN DE LA ACTUALIZACIÓN</w:t>
                        </w: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r w:rsidR="00DC17BE" w:rsidRPr="00DC17BE" w:rsidTr="00DC17BE">
        <w:trPr>
          <w:trHeight w:val="225"/>
          <w:tblCellSpacing w:w="15" w:type="dxa"/>
          <w:jc w:val="center"/>
        </w:trPr>
        <w:tc>
          <w:tcPr>
            <w:tcW w:w="0" w:type="auto"/>
            <w:vAlign w:val="center"/>
            <w:hideMark/>
          </w:tcPr>
          <w:p w:rsidR="00DC17BE" w:rsidRPr="00DC17BE" w:rsidRDefault="00DC17BE" w:rsidP="00DC17BE">
            <w:pPr>
              <w:spacing w:after="0" w:line="240" w:lineRule="auto"/>
              <w:rPr>
                <w:rFonts w:ascii="Times New Roman" w:eastAsia="Times New Roman" w:hAnsi="Times New Roman" w:cs="Times New Roman"/>
                <w:szCs w:val="24"/>
                <w:lang w:eastAsia="es-ES"/>
              </w:rPr>
            </w:pPr>
          </w:p>
        </w:tc>
      </w:tr>
      <w:tr w:rsidR="00DC17BE" w:rsidRPr="00DC17BE" w:rsidTr="00DC17B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C17BE" w:rsidRPr="00DC17BE">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center"/>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center"/>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C17BE" w:rsidRPr="00DC17BE" w:rsidRDefault="00DC17BE" w:rsidP="00DC17BE">
                  <w:pPr>
                    <w:spacing w:after="0" w:line="240" w:lineRule="auto"/>
                    <w:jc w:val="center"/>
                    <w:rPr>
                      <w:rFonts w:ascii="Calibri" w:eastAsia="Times New Roman" w:hAnsi="Calibri" w:cs="Times New Roman"/>
                      <w:b/>
                      <w:bCs/>
                      <w:color w:val="000000"/>
                      <w:sz w:val="24"/>
                      <w:szCs w:val="24"/>
                      <w:lang w:eastAsia="es-ES"/>
                    </w:rPr>
                  </w:pPr>
                  <w:r w:rsidRPr="00DC17BE">
                    <w:rPr>
                      <w:rFonts w:ascii="Calibri" w:eastAsia="Times New Roman" w:hAnsi="Calibri" w:cs="Times New Roman"/>
                      <w:b/>
                      <w:bCs/>
                      <w:color w:val="000000"/>
                      <w:sz w:val="24"/>
                      <w:szCs w:val="24"/>
                      <w:lang w:eastAsia="es-ES"/>
                    </w:rPr>
                    <w:t>APROBÓ</w:t>
                  </w:r>
                </w:p>
              </w:tc>
            </w:tr>
            <w:tr w:rsidR="00DC17BE" w:rsidRPr="00DC17B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C17BE" w:rsidRPr="00DC17BE">
                    <w:trPr>
                      <w:tblCellSpacing w:w="15" w:type="dxa"/>
                    </w:trPr>
                    <w:tc>
                      <w:tcPr>
                        <w:tcW w:w="12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Nombre:</w:t>
                        </w:r>
                      </w:p>
                    </w:tc>
                    <w:tc>
                      <w:tcPr>
                        <w:tcW w:w="37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Leandra Meza Uribe</w:t>
                        </w:r>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Cargo:</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Profesional Universitario</w:t>
                        </w:r>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Fecha:</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23/Jun/2016</w:t>
                        </w:r>
                      </w:p>
                    </w:tc>
                  </w:tr>
                </w:tbl>
                <w:p w:rsidR="00DC17BE" w:rsidRPr="00DC17BE" w:rsidRDefault="00DC17BE" w:rsidP="00DC17B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C17BE" w:rsidRPr="00DC17BE">
                    <w:trPr>
                      <w:tblCellSpacing w:w="15" w:type="dxa"/>
                    </w:trPr>
                    <w:tc>
                      <w:tcPr>
                        <w:tcW w:w="12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Nombre:</w:t>
                        </w:r>
                      </w:p>
                    </w:tc>
                    <w:tc>
                      <w:tcPr>
                        <w:tcW w:w="37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Blanca Cecilia Largo Hernández</w:t>
                        </w:r>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Cargo:</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Profesional Especializado</w:t>
                        </w:r>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Fecha:</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23/Jun/2016</w:t>
                        </w:r>
                      </w:p>
                    </w:tc>
                  </w:tr>
                </w:tbl>
                <w:p w:rsidR="00DC17BE" w:rsidRPr="00DC17BE" w:rsidRDefault="00DC17BE" w:rsidP="00DC17B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C17BE" w:rsidRPr="00DC17BE">
                    <w:trPr>
                      <w:tblCellSpacing w:w="15" w:type="dxa"/>
                    </w:trPr>
                    <w:tc>
                      <w:tcPr>
                        <w:tcW w:w="12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Nombre:</w:t>
                        </w:r>
                      </w:p>
                    </w:tc>
                    <w:tc>
                      <w:tcPr>
                        <w:tcW w:w="3750" w:type="pct"/>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 xml:space="preserve">Guillermo </w:t>
                        </w:r>
                        <w:proofErr w:type="spellStart"/>
                        <w:r w:rsidRPr="00DC17BE">
                          <w:rPr>
                            <w:rFonts w:ascii="Calibri" w:eastAsia="Times New Roman" w:hAnsi="Calibri" w:cs="Times New Roman"/>
                            <w:color w:val="000000"/>
                            <w:lang w:eastAsia="es-ES"/>
                          </w:rPr>
                          <w:t>Hernandez</w:t>
                        </w:r>
                        <w:proofErr w:type="spellEnd"/>
                        <w:r w:rsidRPr="00DC17BE">
                          <w:rPr>
                            <w:rFonts w:ascii="Calibri" w:eastAsia="Times New Roman" w:hAnsi="Calibri" w:cs="Times New Roman"/>
                            <w:color w:val="000000"/>
                            <w:lang w:eastAsia="es-ES"/>
                          </w:rPr>
                          <w:t xml:space="preserve"> </w:t>
                        </w:r>
                        <w:proofErr w:type="spellStart"/>
                        <w:r w:rsidRPr="00DC17BE">
                          <w:rPr>
                            <w:rFonts w:ascii="Calibri" w:eastAsia="Times New Roman" w:hAnsi="Calibri" w:cs="Times New Roman"/>
                            <w:color w:val="000000"/>
                            <w:lang w:eastAsia="es-ES"/>
                          </w:rPr>
                          <w:t>Gutierrez</w:t>
                        </w:r>
                        <w:proofErr w:type="spellEnd"/>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Cargo:</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Líder de Programa</w:t>
                        </w:r>
                      </w:p>
                    </w:tc>
                  </w:tr>
                  <w:tr w:rsidR="00DC17BE" w:rsidRPr="00DC17BE">
                    <w:trPr>
                      <w:tblCellSpacing w:w="15" w:type="dxa"/>
                    </w:trPr>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b/>
                            <w:bCs/>
                            <w:color w:val="000000"/>
                            <w:lang w:eastAsia="es-ES"/>
                          </w:rPr>
                          <w:t>Fecha:</w:t>
                        </w:r>
                      </w:p>
                    </w:tc>
                    <w:tc>
                      <w:tcPr>
                        <w:tcW w:w="0" w:type="auto"/>
                        <w:vAlign w:val="center"/>
                        <w:hideMark/>
                      </w:tcPr>
                      <w:p w:rsidR="00DC17BE" w:rsidRPr="00DC17BE" w:rsidRDefault="00DC17BE" w:rsidP="00DC17BE">
                        <w:pPr>
                          <w:spacing w:after="0" w:line="240" w:lineRule="auto"/>
                          <w:rPr>
                            <w:rFonts w:ascii="Calibri" w:eastAsia="Times New Roman" w:hAnsi="Calibri" w:cs="Times New Roman"/>
                            <w:color w:val="000000"/>
                            <w:lang w:eastAsia="es-ES"/>
                          </w:rPr>
                        </w:pPr>
                        <w:r w:rsidRPr="00DC17BE">
                          <w:rPr>
                            <w:rFonts w:ascii="Calibri" w:eastAsia="Times New Roman" w:hAnsi="Calibri" w:cs="Times New Roman"/>
                            <w:color w:val="000000"/>
                            <w:lang w:eastAsia="es-ES"/>
                          </w:rPr>
                          <w:t>23/Jun/2016</w:t>
                        </w:r>
                      </w:p>
                    </w:tc>
                  </w:tr>
                </w:tbl>
                <w:p w:rsidR="00DC17BE" w:rsidRPr="00DC17BE" w:rsidRDefault="00DC17BE" w:rsidP="00DC17BE">
                  <w:pPr>
                    <w:spacing w:after="0" w:line="240" w:lineRule="auto"/>
                    <w:jc w:val="both"/>
                    <w:rPr>
                      <w:rFonts w:ascii="Calibri" w:eastAsia="Times New Roman" w:hAnsi="Calibri" w:cs="Times New Roman"/>
                      <w:lang w:eastAsia="es-ES"/>
                    </w:rPr>
                  </w:pPr>
                </w:p>
              </w:tc>
            </w:tr>
          </w:tbl>
          <w:p w:rsidR="00DC17BE" w:rsidRPr="00DC17BE" w:rsidRDefault="00DC17BE" w:rsidP="00DC17BE">
            <w:pPr>
              <w:spacing w:after="0" w:line="240" w:lineRule="auto"/>
              <w:rPr>
                <w:rFonts w:ascii="Times New Roman" w:eastAsia="Times New Roman" w:hAnsi="Times New Roman" w:cs="Times New Roman"/>
                <w:sz w:val="24"/>
                <w:szCs w:val="24"/>
                <w:lang w:eastAsia="es-ES"/>
              </w:rPr>
            </w:pPr>
          </w:p>
        </w:tc>
      </w:tr>
    </w:tbl>
    <w:p w:rsidR="007F17DF" w:rsidRDefault="00DC17BE"/>
    <w:sectPr w:rsidR="007F17DF" w:rsidSect="00DC17B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BE"/>
    <w:rsid w:val="001336B7"/>
    <w:rsid w:val="002D4109"/>
    <w:rsid w:val="00874852"/>
    <w:rsid w:val="00894079"/>
    <w:rsid w:val="00BB6CFF"/>
    <w:rsid w:val="00DC17BE"/>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C17BE"/>
  </w:style>
  <w:style w:type="character" w:styleId="Hipervnculo">
    <w:name w:val="Hyperlink"/>
    <w:basedOn w:val="Fuentedeprrafopredeter"/>
    <w:uiPriority w:val="99"/>
    <w:semiHidden/>
    <w:unhideWhenUsed/>
    <w:rsid w:val="00DC17BE"/>
    <w:rPr>
      <w:color w:val="0000FF"/>
      <w:u w:val="single"/>
    </w:rPr>
  </w:style>
  <w:style w:type="character" w:customStyle="1" w:styleId="apple-converted-space">
    <w:name w:val="apple-converted-space"/>
    <w:basedOn w:val="Fuentedeprrafopredeter"/>
    <w:rsid w:val="00DC17BE"/>
  </w:style>
  <w:style w:type="paragraph" w:styleId="Textodeglobo">
    <w:name w:val="Balloon Text"/>
    <w:basedOn w:val="Normal"/>
    <w:link w:val="TextodegloboCar"/>
    <w:uiPriority w:val="99"/>
    <w:semiHidden/>
    <w:unhideWhenUsed/>
    <w:rsid w:val="00DC1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C17BE"/>
  </w:style>
  <w:style w:type="character" w:styleId="Hipervnculo">
    <w:name w:val="Hyperlink"/>
    <w:basedOn w:val="Fuentedeprrafopredeter"/>
    <w:uiPriority w:val="99"/>
    <w:semiHidden/>
    <w:unhideWhenUsed/>
    <w:rsid w:val="00DC17BE"/>
    <w:rPr>
      <w:color w:val="0000FF"/>
      <w:u w:val="single"/>
    </w:rPr>
  </w:style>
  <w:style w:type="character" w:customStyle="1" w:styleId="apple-converted-space">
    <w:name w:val="apple-converted-space"/>
    <w:basedOn w:val="Fuentedeprrafopredeter"/>
    <w:rsid w:val="00DC17BE"/>
  </w:style>
  <w:style w:type="paragraph" w:styleId="Textodeglobo">
    <w:name w:val="Balloon Text"/>
    <w:basedOn w:val="Normal"/>
    <w:link w:val="TextodegloboCar"/>
    <w:uiPriority w:val="99"/>
    <w:semiHidden/>
    <w:unhideWhenUsed/>
    <w:rsid w:val="00DC1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5841">
      <w:bodyDiv w:val="1"/>
      <w:marLeft w:val="0"/>
      <w:marRight w:val="0"/>
      <w:marTop w:val="0"/>
      <w:marBottom w:val="0"/>
      <w:divBdr>
        <w:top w:val="none" w:sz="0" w:space="0" w:color="auto"/>
        <w:left w:val="none" w:sz="0" w:space="0" w:color="auto"/>
        <w:bottom w:val="none" w:sz="0" w:space="0" w:color="auto"/>
        <w:right w:val="none" w:sz="0" w:space="0" w:color="auto"/>
      </w:divBdr>
      <w:divsChild>
        <w:div w:id="2029403749">
          <w:marLeft w:val="0"/>
          <w:marRight w:val="0"/>
          <w:marTop w:val="0"/>
          <w:marBottom w:val="0"/>
          <w:divBdr>
            <w:top w:val="none" w:sz="0" w:space="0" w:color="auto"/>
            <w:left w:val="none" w:sz="0" w:space="0" w:color="auto"/>
            <w:bottom w:val="none" w:sz="0" w:space="0" w:color="auto"/>
            <w:right w:val="none" w:sz="0" w:space="0" w:color="auto"/>
          </w:divBdr>
        </w:div>
        <w:div w:id="1125193307">
          <w:marLeft w:val="0"/>
          <w:marRight w:val="0"/>
          <w:marTop w:val="0"/>
          <w:marBottom w:val="0"/>
          <w:divBdr>
            <w:top w:val="none" w:sz="0" w:space="0" w:color="auto"/>
            <w:left w:val="none" w:sz="0" w:space="0" w:color="auto"/>
            <w:bottom w:val="none" w:sz="0" w:space="0" w:color="auto"/>
            <w:right w:val="none" w:sz="0" w:space="0" w:color="auto"/>
          </w:divBdr>
        </w:div>
        <w:div w:id="1907106560">
          <w:marLeft w:val="0"/>
          <w:marRight w:val="0"/>
          <w:marTop w:val="0"/>
          <w:marBottom w:val="0"/>
          <w:divBdr>
            <w:top w:val="none" w:sz="0" w:space="0" w:color="auto"/>
            <w:left w:val="none" w:sz="0" w:space="0" w:color="auto"/>
            <w:bottom w:val="none" w:sz="0" w:space="0" w:color="auto"/>
            <w:right w:val="none" w:sz="0" w:space="0" w:color="auto"/>
          </w:divBdr>
        </w:div>
        <w:div w:id="1437286443">
          <w:marLeft w:val="0"/>
          <w:marRight w:val="0"/>
          <w:marTop w:val="0"/>
          <w:marBottom w:val="0"/>
          <w:divBdr>
            <w:top w:val="none" w:sz="0" w:space="0" w:color="auto"/>
            <w:left w:val="none" w:sz="0" w:space="0" w:color="auto"/>
            <w:bottom w:val="none" w:sz="0" w:space="0" w:color="auto"/>
            <w:right w:val="none" w:sz="0" w:space="0" w:color="auto"/>
          </w:divBdr>
        </w:div>
        <w:div w:id="236013109">
          <w:marLeft w:val="0"/>
          <w:marRight w:val="0"/>
          <w:marTop w:val="0"/>
          <w:marBottom w:val="0"/>
          <w:divBdr>
            <w:top w:val="none" w:sz="0" w:space="0" w:color="auto"/>
            <w:left w:val="none" w:sz="0" w:space="0" w:color="auto"/>
            <w:bottom w:val="none" w:sz="0" w:space="0" w:color="auto"/>
            <w:right w:val="none" w:sz="0" w:space="0" w:color="auto"/>
          </w:divBdr>
        </w:div>
        <w:div w:id="2113741354">
          <w:marLeft w:val="0"/>
          <w:marRight w:val="0"/>
          <w:marTop w:val="0"/>
          <w:marBottom w:val="0"/>
          <w:divBdr>
            <w:top w:val="none" w:sz="0" w:space="0" w:color="auto"/>
            <w:left w:val="none" w:sz="0" w:space="0" w:color="auto"/>
            <w:bottom w:val="none" w:sz="0" w:space="0" w:color="auto"/>
            <w:right w:val="none" w:sz="0" w:space="0" w:color="auto"/>
          </w:divBdr>
        </w:div>
        <w:div w:id="1377579976">
          <w:marLeft w:val="0"/>
          <w:marRight w:val="0"/>
          <w:marTop w:val="0"/>
          <w:marBottom w:val="0"/>
          <w:divBdr>
            <w:top w:val="none" w:sz="0" w:space="0" w:color="auto"/>
            <w:left w:val="none" w:sz="0" w:space="0" w:color="auto"/>
            <w:bottom w:val="none" w:sz="0" w:space="0" w:color="auto"/>
            <w:right w:val="none" w:sz="0" w:space="0" w:color="auto"/>
          </w:divBdr>
        </w:div>
        <w:div w:id="9255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C/Circular000006de2011/Circular000006de2011.asp?IdArticulo=264" TargetMode="External"/><Relationship Id="rId13" Type="http://schemas.openxmlformats.org/officeDocument/2006/relationships/hyperlink" Target="http://www.isolucion.com.co/Isolucion3AlcManizales/bancoconocimientoalcmanizales/L/Ley1122de2007/Ley1122de2007.asp?IdArticulo=268" TargetMode="External"/><Relationship Id="rId18" Type="http://schemas.openxmlformats.org/officeDocument/2006/relationships/hyperlink" Target="http://www.isolucion.com.co/Isolucion3AlcManizales/bancoconocimientoalcmanizales/R/Resolucion1587de2016/Resolucion1587de2016.asp?IdArticulo=12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olucion.com.co/Isolucion3AlcManizales/bancoconocimientoalcmanizales/A/Acuerdo415de2009/Acuerdo415de2009.asp?IdArticulo=261" TargetMode="External"/><Relationship Id="rId12" Type="http://schemas.openxmlformats.org/officeDocument/2006/relationships/hyperlink" Target="http://www.isolucion.com.co/Isolucion3AlcManizales/bancoconocimientoalcmanizales/D/Decreto3830de2011/Decreto3830de2011.asp?IdArticulo=462" TargetMode="External"/><Relationship Id="rId17" Type="http://schemas.openxmlformats.org/officeDocument/2006/relationships/hyperlink" Target="http://www.isolucion.com.co/Isolucion3AlcManizales/bancoconocimientoalcmanizales/D/Decreto2353del2015/Decreto2353del2015.asp?IdArticulo=1147" TargetMode="External"/><Relationship Id="rId2" Type="http://schemas.microsoft.com/office/2007/relationships/stylesWithEffects" Target="stylesWithEffects.xml"/><Relationship Id="rId16" Type="http://schemas.openxmlformats.org/officeDocument/2006/relationships/hyperlink" Target="http://www.isolucion.com.co/Isolucion3AlcManizales/bancoconocimientoalcmanizales/R/Resolucion4612del2014/Resolucion4612del2014.asp?IdArticulo=1146" TargetMode="External"/><Relationship Id="rId20" Type="http://schemas.openxmlformats.org/officeDocument/2006/relationships/hyperlink" Target="http://www.isolucion.com.co/Isolucion3AlcManizales/bancoconocimientoalcmanizales/M/ManualdeAuditoriaalRegimenSubsidiado_v01/ManualdeAuditoriaalRegimenSubsidiado_v01.asp?IdArticulo=126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971de2011/Decreto971de2011.asp?IdArticulo=258"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D/Decreto1700DE2011/Decreto1700DE2011.asp?IdArticulo=1145" TargetMode="External"/><Relationship Id="rId10" Type="http://schemas.openxmlformats.org/officeDocument/2006/relationships/hyperlink" Target="http://www.isolucion.com.co/Isolucion3AlcManizales/bancoconocimientoalcmanizales/R/Resolucion660de2008/Resolucion660de2008.asp?IdArticulo=255" TargetMode="External"/><Relationship Id="rId19" Type="http://schemas.openxmlformats.org/officeDocument/2006/relationships/hyperlink" Target="http://www.isolucion.com.co/Isolucion3AlcManizales/bancoconocimientoalcmanizales/M/ManualdeAuditoriaalRegimenSubsidiado_v01/ManualdeAuditoriaalRegimenSubsidiado_v01.asp?IdArticulo=1261"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R/Resolucion003047de2008/Resolucion003047de2008.asp?IdArticulo=256" TargetMode="External"/><Relationship Id="rId14" Type="http://schemas.openxmlformats.org/officeDocument/2006/relationships/hyperlink" Target="http://www.isolucion.com.co/Isolucion3AlcManizales/bancoconocimientoalcmanizales/L/Ley1438de2011/Ley1438de2011.asp?IdArticulo=26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2017-02-28T16:45:00Z</dcterms:created>
  <dcterms:modified xsi:type="dcterms:W3CDTF">2017-02-28T16:48:00Z</dcterms:modified>
</cp:coreProperties>
</file>