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D92120" w:rsidRPr="00D92120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34" name="Imagen 34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D92120" w:rsidRPr="00D9212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FORMULACIÓN, ADOPCIÓN O ADAPTACIÓN DE POLITICAS PÚBLICAS</w:t>
                  </w:r>
                </w:p>
              </w:tc>
            </w:tr>
            <w:tr w:rsidR="00D92120" w:rsidRPr="00D9212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002</w:t>
                  </w:r>
                </w:p>
              </w:tc>
            </w:tr>
            <w:tr w:rsidR="00D92120" w:rsidRPr="00D9212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PIM-PDL-PR-002</w:t>
                  </w: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D92120" w:rsidRPr="00D92120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PLANEACIÓN DEL DESARROLLO LOCAL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92120" w:rsidRPr="00D9212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3" name="Imagen 3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32" name="Imagen 3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1" name="Imagen 3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Desarrollar según lo establecido en el Plan de desarrollo las acciones pertinentes para formular y adoptar políticas públicas. </w:t>
                        </w:r>
                      </w:p>
                    </w:tc>
                  </w:tr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92120" w:rsidRPr="00D9212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0" name="Imagen 3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9" name="Imagen 2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8" name="Imagen 2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la inclusión en el plan de desarrollo hasta la promulgación del decreto o del Acuerdo Municipal de adopción de la política.  </w:t>
                        </w:r>
                      </w:p>
                    </w:tc>
                  </w:tr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D92120" w:rsidRPr="00D9212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Clara </w:t>
                        </w:r>
                        <w:proofErr w:type="spellStart"/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Ines</w:t>
                        </w:r>
                        <w:proofErr w:type="spellEnd"/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Restrepo Hurtado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92120" w:rsidRPr="00D9212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7" name="Imagen 2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6" name="Imagen 2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5" name="Imagen 2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La obligatoriedad de formular la Política Pública proviene del Plan de Desarrollo o de un mandato legal. En el contexto colombiano y debido a la alineación de los diferentes planes de desarrollo tanto nacional como departamental, las Políticas Públicas vienen direccionadas desde el nivel central.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2. Las políticas públicas (PP) deben dar respuesta a situaciones problemáticas identificadas en el municipio, a través de los diagnósticos 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sectoriales y en articulación con los lineamientos nacionales.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3. Todas las Políticas Públicas Deberá tener definido un marco legal e institucional y deberá quedar documentado en el Acuerdo o Decreto que las promulguen. 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4. Cada sector responsable de formular la Política Pública hará las apropiaciones presupuestales necesarias que garanticen la realización del proceso.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5. El o los Secretarios de Despacho del sector dentro del cual se enmarque la política a formular, adaptar y adoptar, designará los funcionarios responsables de liderar el respectivo proceso e informará de la delegación de dicho equipo de trabajo, enviando copia del acto administrativo a la Secretaria de Planeación.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6. La Secretaria o dependencia responsable de la gestión de la Política Pública deberá presentar en el respectivo Comité, el plan de acción para la formulación de la política, para que sea aprobado y viabilizado por las dependencias involucradas, y para generar el compromiso que garantice resultados exitosos del proceso.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7. Una vez quede aprobado en el Plan de Desarrollo las Políticas Públicas a adoptar, estas deben iniciar a partir del segundo año del gobierno, dado el tiempo requerido para concretar productos. </w:t>
                        </w:r>
                      </w:p>
                    </w:tc>
                  </w:tr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92120" w:rsidRPr="00D9212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4" name="Imagen 2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3" name="Imagen 2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2" name="Imagen 2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POLÍTICA PÚBLICA: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el arte de construir acuerdos en torno a los grandes objetivos que convienen a todos los miembros de la comunidad.  </w:t>
                        </w:r>
                      </w:p>
                    </w:tc>
                  </w:tr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92120" w:rsidRPr="00D9212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1" name="Imagen 2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0" name="Imagen 2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9" name="Imagen 1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ACUERDOS SOCIALES: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Son consensos relacionados con los logros mínimos que deben alcanzarse, sobre el proceso que debe emprenderse para alcanzarlos, sobre los esfuerzos financieros y operativos que corresponden a cada uno de los responsables de lograrlos, sobre las acciones en torno a las cuales se moviliza la comunidad y sobre el mecanismo para vigilar los avances del proceso emprendido.  </w:t>
                        </w:r>
                      </w:p>
                    </w:tc>
                  </w:tr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92120" w:rsidRPr="00D9212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ENFOQUE DIFERENCIAL: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Es un método de análisis y una guía para la acción. En el primer caso, emplea una lectura de la realidad que pretende hacer visibles las formas de discriminación contra aquellos grupos o pobladores considerados diferentes por una mayoría o por un grupo hegemónico. En el segundo caso, toma en cuenta dicho análisis para brindar adecuada atención y protección de los 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derechos de la población. Siendo así las cosas, el enfoque diferencial juega un papel importante como herramienta que debe manejar todo funcionario público, y en especial aquellas instituciones cuya obligación está en velar por el bienestar y el goce de los derechos de los ciudadanos.  </w:t>
                        </w:r>
                      </w:p>
                    </w:tc>
                  </w:tr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92120" w:rsidRPr="00D9212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5.4. GARANTÍA DE DERECHOS HUMANOS: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Son mecanismos de protección y tutela de los derechos encomendados a órganos institucionales como el gobierno, el legislador, la administración o los jueces  </w:t>
                        </w:r>
                      </w:p>
                    </w:tc>
                  </w:tr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92120" w:rsidRPr="00D9212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5.5. MOVILIZACIÓN SOCIAL O CIUDADANA: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Proceso basado en el aprendizaje social, la cooperación entre actores, en su calidad de ciudadanos electores, contribuyentes y beneficiarios de las decisiones de política que se adoptan, incorpora la corresponsabilidad de todos en la búsqueda de mejores condiciones de desarrollo.  </w:t>
                        </w:r>
                      </w:p>
                    </w:tc>
                  </w:tr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92120" w:rsidRPr="00D9212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5.6. RUTA METODOLÓGICA: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el instrumento destinado a orientar el proceso y responsables de las políticas en la gestión y acompañamiento  </w:t>
                        </w:r>
                      </w:p>
                    </w:tc>
                  </w:tr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92120" w:rsidRPr="00D9212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5.7. PLAN DE IMPLEMENTACIÓN: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Hace referencia a las acciones que se ejecutarán anualmente para dar cumplimiento a las líneas de política definidas por el ente municipal.  </w:t>
                        </w:r>
                      </w:p>
                    </w:tc>
                  </w:tr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92120" w:rsidRPr="00D9212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5.8. SISTEMATIZACIÓN: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Proceso mediante el cual se registra, de manera ordenada, secuencial, permanente y acumulativa los aspectos más relevantes de una experiencia que se quiere compartir con los demás.  </w:t>
                        </w:r>
                      </w:p>
                    </w:tc>
                  </w:tr>
                  <w:tr w:rsidR="00D92120" w:rsidRPr="00D9212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D92120" w:rsidRPr="00D9212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Acuerdo 002 de 2013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Cómo hacer una Política Pública de Infancia y Adolescencia en el Departamento o Municipio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9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CONPES 80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0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CONPES 109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1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CONPES 161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2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CONPES 166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3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CONPES 3550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4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- La infancia, la adolescencia y el ambiente sano en los Planes de Desarrollo </w:t>
                          </w:r>
                          <w:proofErr w:type="spellStart"/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Departam</w:t>
                          </w:r>
                          <w:proofErr w:type="spellEnd"/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. y Municipales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5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1618 de 2013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6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Lineamientos de la Política Pública Nacional de Equidad de Género para las Mujeres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7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Lineamientos de Política de Salud Mental para Colombia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bookmarkStart w:id="0" w:name="_GoBack"/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fldChar w:fldCharType="begin"/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instrText xml:space="preserve"> HYPERLINK "http://www.isolucion.com.co/Isolucion3AlcManizales/bancoconocimientoalcmanizales/L/LineamientosdePPparaelDesarrollodelosNinnos_NinnasyAdolescentesenelDepar_yelMunicipio/LineamientosdePPparaelDesarrollodelosNinnos_NinnasyAdolescentesenelDepar_yelMunicipio.asp?IdArticulo=109" </w:instrTex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separate"/>
                        </w:r>
                        <w:r w:rsidRPr="00D92120">
                          <w:rPr>
                            <w:rFonts w:ascii="Calibri" w:eastAsia="Times New Roman" w:hAnsi="Calibri" w:cs="Times New Roman"/>
                            <w:color w:val="0000FF"/>
                            <w:u w:val="single"/>
                            <w:lang w:eastAsia="es-ES"/>
                          </w:rPr>
                          <w:t xml:space="preserve">- Lineamientos de PP para el Desarrollo de los Niños, Niñas y Adolescentes en el </w:t>
                        </w:r>
                        <w:proofErr w:type="spellStart"/>
                        <w:r w:rsidRPr="00D92120">
                          <w:rPr>
                            <w:rFonts w:ascii="Calibri" w:eastAsia="Times New Roman" w:hAnsi="Calibri" w:cs="Times New Roman"/>
                            <w:color w:val="0000FF"/>
                            <w:u w:val="single"/>
                            <w:lang w:eastAsia="es-ES"/>
                          </w:rPr>
                          <w:t>Depar</w:t>
                        </w:r>
                        <w:proofErr w:type="spellEnd"/>
                        <w:r w:rsidRPr="00D92120">
                          <w:rPr>
                            <w:rFonts w:ascii="Calibri" w:eastAsia="Times New Roman" w:hAnsi="Calibri" w:cs="Times New Roman"/>
                            <w:color w:val="0000FF"/>
                            <w:u w:val="single"/>
                            <w:lang w:eastAsia="es-ES"/>
                          </w:rPr>
                          <w:t>. y el Municipio</w:t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end"/>
                        </w:r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8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Marco para las PP y Lineamientos para la Planeación del Desarrollo de la Infancia y Adolescencia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9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Municipios y Departamentos por la Infancia y la Adolescencia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20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Política Nacional de Envejecimiento y Vejez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21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Política Nacional de Seguridad y Convivencia Ciudadana</w:t>
                          </w:r>
                        </w:hyperlink>
                        <w:r w:rsidRPr="00D9212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22" w:history="1">
                          <w:r w:rsidRPr="00D9212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Política Pública Nacional para las Familias Colombianas</w:t>
                          </w:r>
                        </w:hyperlink>
                        <w:bookmarkEnd w:id="0"/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Incluir en el Plan de Desarrollo a entrar en vigencia, las Políticas Públicas correspondientes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- María del Pilar Pérez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Plan de Desarrollo Municipal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Se deben incluir las Políticas Públicas que el municipio considera pertinentes y necesario adoptar de manera formal, lo cual se realiza siguiendo el procedimiento metodológico adoptado para la formulación del Plan de Desarrollo.  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Aplicar la ruta metodológica para adoptar Políticas Públicas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- María del Pilar Pérez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Plan de acción del proceso de construcción de la política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Para realizar el proceso de adopción de Políticas Públicas, se debe hacer el siguiente análisis: Si existe la política nacional se debe tomar la decisión de adoptarla, y si no existe, se debe formular la política municipal para lo cual se deberá tener en cuenta la ruta metodológica adoptada por el municipio. 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Para el caso de Manizales la ruta metodológica determina el proceso que se seguirá dependiendo del avance de construcción de la política y cuyas decisiones deben ir encaminadas a realizar los siguientes procesos: 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* Formulación: Cuando no existen Políticas Nacionales formal y oficialmente adoptadas. 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* Adaptación: Cuando existen Políticas Nacionales de obligatorio cumplimiento por parte de las Entidades Territoriales, en cuyo caso el municipio toma la decisión de adaptar y/o ajustar sus acciones al modelo Nacional. 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* Adopción: El proceso de la adopción hace referencia al proceso de hacer formal la decisión de contar con una Política Pública, en cuyo caso puede ser mediante Acuerdo del Consejo o mediante Acto Administrativo firmado por el Señor Alcalde.  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Conformar y poner en marcha 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los Comités Técnicos Intersectoriales de Política Pública (Alistamiento Institucional)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* Acto Administrativo de conformación del Comité técnico intersectorial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* Registro de Asistencia del Comité técnico intersectorial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* Acta de reunión del Comité donde conste la aprobación del Plan de acción del proceso de construcción de la política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Esta etapa incluye la 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conformación del comité intersectorial de apoyo a la política, en caso que no exista, así como la formulación y validación del plan de acción por parte del Comité estratégico respectivo en concordancia con el Decreto No 0098 de 2012.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Para la conformación del Comité Técnico Intersectorial, el Secretario de Despacho responsable de la Política Pública, debe delegar una persona quien se encargará de elaborar el Acto Administrativo y designar la(s) persona(s) de las diferentes dependencias y/o Secretarías involucradas que lo conformarán.  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diagnóstico situacional sectorial donde afectará la Política Pública.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- Comités Técnicos de Políticas Publicas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Diagnóstico situacional sectorial de la Política Publica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 Comité Intersectorial de apoyo a la política debe elaborar el diagnóstico situacional. Para esto se debe contratar una entidad de reconocida experiencia e idoneidad para hacer el acompañamiento técnico (Definir la estructura del diagnóstico, el tipo de información requerida y las fuentes de información, el diseño 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metodológico para el análisis de la información, así como el enfoque investigativo que se aplicará).  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Construir la política a partir de la gestión y ejecución del proceso de movilización ciudadana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- Comités Técnicos de Políticas Publicas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Memorias y registros de asistencia de los talleres adelantados, material y registros auditivos y visuales del plan de medios adelantado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debe desarrollar un componente de comunicación con el fin de convocar el mayor número de actores sociales, para lo 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cual el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Comité Intersectorial debe realizar talleres con los actores de la comunidad convocados para la movilización ciudadana y debe definir los momentos del proceso en los cuales participarán los agentes formados con el fin de: 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1) Validar diagnósticos 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2) Formular líneas estratégicas de política y elaborar plan de acción 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Sistematizar permanentemente el proceso (experiencia en la ruta de gestión de la Política Publica)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- Comités Técnicos de Políticas Publicas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Documentos elaborados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Se debe sistematizar el proceso, según la definición de la metodología, la conformación del equipo intersectorial y la vinculación de la entidad de apoyo. 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El objetivo de realizar la sistematización es registrar, de manera ordenada, secuencial, 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permanente y acumulativa los aspectos más relevantes de todo el desarrollo del Plan de acción establecido para la construcción de la Política Pública. 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Elaborar y legalizar el acto administrativo de adopción de la política pública mediante Acuerdo y/o Decreto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- Comités Técnicos de Políticas Publicas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Acto administrativo aprobado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Presentar a la secretaría jurídica el proyecto de acuerdo de aprobación de la política o el borrador de decreto para su respectiva revisión y aprobación.  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Entregar y publicar de los resultados del proceso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- Comités Técnicos de Políticas Publicas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* Evento de socialización de resultados</w:t>
                  </w: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* Libro publicado en físico o en la Página WEB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lang w:eastAsia="es-ES"/>
                    </w:rPr>
                    <w:t>La estructura del documento de política pública debe contener los siguientes capítulos : Diagnóstico situacional, Fundamento conceptual y normativo de la Política, Objetivos de la Política, Líneas Estratégicas de la Política, plan de acción , Sistema de Seguimiento y Evaluación de la Política y marco institucional  </w:t>
                  </w: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D92120" w:rsidRPr="00D9212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92120" w:rsidRPr="00D92120" w:rsidTr="00D921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D92120" w:rsidRPr="00D92120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2120" w:rsidRPr="00D92120" w:rsidRDefault="00D92120" w:rsidP="00D92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92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D92120" w:rsidRPr="00D921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D92120" w:rsidRPr="00D9212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D92120" w:rsidRPr="00D921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D92120" w:rsidRPr="00D921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04/Mar/2014</w:t>
                        </w: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D92120" w:rsidRPr="00D9212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Clara </w:t>
                        </w:r>
                        <w:proofErr w:type="spellStart"/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Ines</w:t>
                        </w:r>
                        <w:proofErr w:type="spellEnd"/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Restrepo Hurtado</w:t>
                        </w:r>
                      </w:p>
                    </w:tc>
                  </w:tr>
                  <w:tr w:rsidR="00D92120" w:rsidRPr="00D921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D92120" w:rsidRPr="00D921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04/Mar/2014</w:t>
                        </w: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D92120" w:rsidRPr="00D9212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D92120" w:rsidRPr="00D921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D92120" w:rsidRPr="00D921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2120" w:rsidRPr="00D92120" w:rsidRDefault="00D92120" w:rsidP="00D9212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9212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04/Mar/2014</w:t>
                        </w:r>
                      </w:p>
                    </w:tc>
                  </w:tr>
                </w:tbl>
                <w:p w:rsidR="00D92120" w:rsidRPr="00D92120" w:rsidRDefault="00D92120" w:rsidP="00D9212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D92120"/>
    <w:sectPr w:rsidR="007F17DF" w:rsidSect="00D9212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0"/>
    <w:rsid w:val="001336B7"/>
    <w:rsid w:val="002D4109"/>
    <w:rsid w:val="00874852"/>
    <w:rsid w:val="00894079"/>
    <w:rsid w:val="00BB6CFF"/>
    <w:rsid w:val="00D92120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2120"/>
  </w:style>
  <w:style w:type="character" w:customStyle="1" w:styleId="datos">
    <w:name w:val="datos"/>
    <w:basedOn w:val="Fuentedeprrafopredeter"/>
    <w:rsid w:val="00D92120"/>
  </w:style>
  <w:style w:type="character" w:styleId="Hipervnculo">
    <w:name w:val="Hyperlink"/>
    <w:basedOn w:val="Fuentedeprrafopredeter"/>
    <w:uiPriority w:val="99"/>
    <w:semiHidden/>
    <w:unhideWhenUsed/>
    <w:rsid w:val="00D921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2120"/>
  </w:style>
  <w:style w:type="character" w:customStyle="1" w:styleId="datos">
    <w:name w:val="datos"/>
    <w:basedOn w:val="Fuentedeprrafopredeter"/>
    <w:rsid w:val="00D92120"/>
  </w:style>
  <w:style w:type="character" w:styleId="Hipervnculo">
    <w:name w:val="Hyperlink"/>
    <w:basedOn w:val="Fuentedeprrafopredeter"/>
    <w:uiPriority w:val="99"/>
    <w:semiHidden/>
    <w:unhideWhenUsed/>
    <w:rsid w:val="00D921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C/ComohacerunaPoliticaPublicadeInfanciayAdolescenciaenelDepartamentooMunicipio/ComohacerunaPoliticaPublicadeInfanciayAdolescenciaenelDepartamentooMunicipio.asp?IdArticulo=101" TargetMode="External"/><Relationship Id="rId13" Type="http://schemas.openxmlformats.org/officeDocument/2006/relationships/hyperlink" Target="http://www.isolucion.com.co/Isolucion3AlcManizales/bancoconocimientoalcmanizales/C/CONPES3550/CONPES3550.asp?IdArticulo=110" TargetMode="External"/><Relationship Id="rId18" Type="http://schemas.openxmlformats.org/officeDocument/2006/relationships/hyperlink" Target="http://www.isolucion.com.co/Isolucion3AlcManizales/bancoconocimientoalcmanizales/M/MarcoparalasPPyLineamientosparalaPlaneaciondelDesarrollodelaInfanciayAdolescencia/MarcoparalasPPyLineamientosparalaPlaneaciondelDesarrollodelaInfanciayAdolescencia.asp?IdArticulo=1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olucion.com.co/Isolucion3AlcManizales/bancoconocimientoalcmanizales/P/PoliticaNacionaldeSeguridadyConvivenciaCiudadana/PoliticaNacionaldeSeguridadyConvivenciaCiudadana.asp?IdArticulo=118" TargetMode="External"/><Relationship Id="rId7" Type="http://schemas.openxmlformats.org/officeDocument/2006/relationships/hyperlink" Target="http://www.isolucion.com.co/Isolucion3AlcManizales/bancoconocimientoalcmanizales/A/Acuerdo002de2013/Acuerdo002de2013.asp?IdArticulo=99" TargetMode="External"/><Relationship Id="rId12" Type="http://schemas.openxmlformats.org/officeDocument/2006/relationships/hyperlink" Target="http://www.isolucion.com.co/Isolucion3AlcManizales/bancoconocimientoalcmanizales/C/CONPES166/CONPES166.asp?IdArticulo=105" TargetMode="External"/><Relationship Id="rId17" Type="http://schemas.openxmlformats.org/officeDocument/2006/relationships/hyperlink" Target="http://www.isolucion.com.co/Isolucion3AlcManizales/bancoconocimientoalcmanizales/L/LineamientosdePoliticadeSaludMentalparaColombia/LineamientosdePoliticadeSaludMentalparaColombia.asp?IdArticulo=1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solucion.com.co/Isolucion3AlcManizales/bancoconocimientoalcmanizales/L/LineamientosdelaPoliticaPublicaNacionaldeEquidaddeGeneroparalasMujeres/LineamientosdelaPoliticaPublicaNacionaldeEquidaddeGeneroparalasMujeres.asp?IdArticulo=111" TargetMode="External"/><Relationship Id="rId20" Type="http://schemas.openxmlformats.org/officeDocument/2006/relationships/hyperlink" Target="http://www.isolucion.com.co/Isolucion3AlcManizales/bancoconocimientoalcmanizales/P/PoliticaNacionaldeEnvejecimientoyVejez/PoliticaNacionaldeEnvejecimientoyVejez.asp?IdArticulo=117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isolucion.com.co/Isolucion3AlcManizales/bancoconocimientoalcmanizales/C/CONPES161/CONPES161.asp?IdArticulo=10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isolucion.com.co/Isolucion3AlcManizales/bancoconocimientoalcmanizales/L/Ley1618de2013/Ley1618de2013.asp?IdArticulo=1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solucion.com.co/Isolucion3AlcManizales/bancoconocimientoalcmanizales/C/CONPES109/CONPES109.asp?IdArticulo=103" TargetMode="External"/><Relationship Id="rId19" Type="http://schemas.openxmlformats.org/officeDocument/2006/relationships/hyperlink" Target="http://www.isolucion.com.co/Isolucion3AlcManizales/bancoconocimientoalcmanizales/M/MunicipiosyDepartamentosporlaInfanciaylaAdolescencia/MunicipiosyDepartamentosporlaInfanciaylaAdolescencia.asp?IdArticulo=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C/CONPES80/CONPES80.asp?IdArticulo=102" TargetMode="External"/><Relationship Id="rId14" Type="http://schemas.openxmlformats.org/officeDocument/2006/relationships/hyperlink" Target="http://www.isolucion.com.co/Isolucion3AlcManizales/bancoconocimientoalcmanizales/L/Lainfancia_laadolescenciayelambientesanoenlosPlanesdeDesarrolloDepartam_yMunicipales/Lainfancia_laadolescenciayelambientesanoenlosPlanesdeDesarrolloDepartam_yMunicipales.asp?IdArticulo=106" TargetMode="External"/><Relationship Id="rId22" Type="http://schemas.openxmlformats.org/officeDocument/2006/relationships/hyperlink" Target="http://www.isolucion.com.co/Isolucion3AlcManizales/bancoconocimientoalcmanizales/P/PoliticaPublicaNacionalparalasFamiliasColombianas/PoliticaPublicaNacionalparalasFamiliasColombianas.asp?IdArticulo=1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2017-02-28T14:36:00Z</dcterms:created>
  <dcterms:modified xsi:type="dcterms:W3CDTF">2017-02-28T14:39:00Z</dcterms:modified>
</cp:coreProperties>
</file>